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595DFF76" w:rsidR="00E758AE" w:rsidRPr="00BE6BF1" w:rsidRDefault="006F557A" w:rsidP="00E758AE">
      <w:pPr>
        <w:pStyle w:val="Title"/>
        <w:spacing w:after="440"/>
        <w:rPr>
          <w:szCs w:val="72"/>
        </w:rPr>
      </w:pPr>
      <w:r>
        <w:rPr>
          <w:szCs w:val="72"/>
        </w:rPr>
        <w:t>Solving equations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583AE481" w14:textId="5125F1E7" w:rsidR="00E758AE" w:rsidRPr="00863E66" w:rsidRDefault="006F557A" w:rsidP="002D5756">
      <w:pPr>
        <w:pStyle w:val="ListParagraph"/>
        <w:numPr>
          <w:ilvl w:val="0"/>
          <w:numId w:val="1"/>
        </w:numPr>
      </w:pPr>
      <w:r>
        <w:t>Understand the steps needed to solve an equation</w:t>
      </w:r>
    </w:p>
    <w:p w14:paraId="665D1150" w14:textId="33DA081B" w:rsidR="00E758AE" w:rsidRDefault="006F557A" w:rsidP="002D5756">
      <w:pPr>
        <w:pStyle w:val="ListParagraph"/>
        <w:numPr>
          <w:ilvl w:val="0"/>
          <w:numId w:val="1"/>
        </w:numPr>
      </w:pPr>
      <w:r>
        <w:t>Solve one-step and multi-step equations</w:t>
      </w:r>
    </w:p>
    <w:p w14:paraId="1EADF62B" w14:textId="18F4A441" w:rsidR="00CE7622" w:rsidRDefault="006F557A" w:rsidP="00CE7622">
      <w:pPr>
        <w:pStyle w:val="ListParagraph"/>
        <w:numPr>
          <w:ilvl w:val="0"/>
          <w:numId w:val="1"/>
        </w:numPr>
      </w:pPr>
      <w:bookmarkStart w:id="2" w:name="_Toc111717008"/>
      <w:r>
        <w:t>Use visual representations to provide insight into solving equations</w:t>
      </w:r>
    </w:p>
    <w:p w14:paraId="67C938E1" w14:textId="08F1DA9B" w:rsidR="00E758AE" w:rsidRPr="005E4E4A" w:rsidRDefault="00E758AE" w:rsidP="00E758AE">
      <w:pPr>
        <w:pStyle w:val="Centrelesresourcesheading"/>
      </w:pPr>
      <w:r w:rsidRPr="005E4E4A">
        <w:t>2. GCSE curriculum</w:t>
      </w:r>
      <w:bookmarkEnd w:id="2"/>
    </w:p>
    <w:p w14:paraId="2D9800A8" w14:textId="61498CCE" w:rsidR="00E758AE" w:rsidRDefault="00303932" w:rsidP="00E758AE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Solving equations and inequalities</w:t>
      </w:r>
    </w:p>
    <w:p w14:paraId="3A2451C0" w14:textId="77777777" w:rsidR="00CE7622" w:rsidRPr="00F26F78" w:rsidRDefault="00CE7622" w:rsidP="00E758AE">
      <w:pPr>
        <w:rPr>
          <w:rFonts w:ascii="Arial" w:hAnsi="Arial" w:cs="Arial"/>
          <w:b/>
          <w:iCs/>
        </w:rPr>
      </w:pPr>
    </w:p>
    <w:p w14:paraId="09FF279F" w14:textId="18274A3F" w:rsidR="00CE7622" w:rsidRPr="00F26F78" w:rsidRDefault="00EC71FE" w:rsidP="00E758A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A17</w:t>
      </w:r>
      <w:r w:rsidR="00E758AE" w:rsidRPr="00F26F78">
        <w:rPr>
          <w:rFonts w:ascii="Arial" w:hAnsi="Arial" w:cs="Arial"/>
          <w:b/>
          <w:bCs/>
        </w:rPr>
        <w:t xml:space="preserve"> </w:t>
      </w:r>
      <w:r w:rsidRPr="00EC71FE">
        <w:rPr>
          <w:rFonts w:ascii="Arial" w:hAnsi="Arial" w:cs="Arial"/>
        </w:rPr>
        <w:t>solve linear equations in one unknown algebraically (including those with the unknown on both sides of the equation)</w:t>
      </w:r>
    </w:p>
    <w:p w14:paraId="556CE9F1" w14:textId="77777777" w:rsidR="00E758AE" w:rsidRDefault="00E758AE" w:rsidP="00E758AE"/>
    <w:p w14:paraId="70905E24" w14:textId="6D788C41" w:rsidR="00E758AE" w:rsidRDefault="00E758AE" w:rsidP="00E758AE">
      <w:pPr>
        <w:rPr>
          <w:rFonts w:ascii="Arial" w:hAnsi="Arial" w:cs="Arial"/>
        </w:rPr>
      </w:pP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19E018E3" w14:textId="1CE99252" w:rsidR="00410E09" w:rsidRP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BF299E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BF299E" w:rsidRDefault="00E758AE" w:rsidP="000A4749">
            <w:pPr>
              <w:pStyle w:val="Tableheader"/>
              <w:keepNext/>
              <w:jc w:val="center"/>
            </w:pPr>
            <w:r w:rsidRPr="00BF299E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BF299E" w:rsidRDefault="00E758AE" w:rsidP="000A4749">
            <w:pPr>
              <w:pStyle w:val="Tableheader"/>
              <w:jc w:val="center"/>
            </w:pPr>
            <w:r w:rsidRPr="00BF299E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BF299E" w:rsidRDefault="00E758AE" w:rsidP="000A4749">
            <w:pPr>
              <w:pStyle w:val="Tableheader"/>
              <w:jc w:val="center"/>
            </w:pPr>
            <w:r w:rsidRPr="00BF299E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BF299E" w:rsidRDefault="00E758AE" w:rsidP="000A4749">
            <w:pPr>
              <w:pStyle w:val="Tableheader"/>
              <w:jc w:val="center"/>
            </w:pPr>
            <w:r w:rsidRPr="00BF299E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BF299E" w:rsidRDefault="00E758AE" w:rsidP="000A4749">
            <w:pPr>
              <w:pStyle w:val="Tableheader"/>
              <w:jc w:val="center"/>
            </w:pPr>
            <w:r w:rsidRPr="00BF299E">
              <w:t>Materials</w:t>
            </w:r>
          </w:p>
        </w:tc>
      </w:tr>
      <w:tr w:rsidR="003A076B" w:rsidRPr="00BF299E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77777777" w:rsidR="003A076B" w:rsidRPr="00BF299E" w:rsidRDefault="003A076B" w:rsidP="003A076B">
            <w:pPr>
              <w:keepNext/>
              <w:rPr>
                <w:rFonts w:ascii="Arial" w:hAnsi="Arial" w:cs="Arial"/>
              </w:rPr>
            </w:pPr>
            <w:r w:rsidRPr="00BF299E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2FBFABC3" w14:textId="529181A8" w:rsidR="003A076B" w:rsidRPr="00BF299E" w:rsidRDefault="003A076B" w:rsidP="003A0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introduce the concept of ‘balance’ in an equation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77777777" w:rsidR="003A076B" w:rsidRPr="00BF299E" w:rsidRDefault="003A076B" w:rsidP="003A076B">
            <w:pPr>
              <w:jc w:val="center"/>
              <w:rPr>
                <w:rFonts w:ascii="Arial" w:hAnsi="Arial" w:cs="Arial"/>
              </w:rPr>
            </w:pPr>
            <w:r w:rsidRPr="00BF299E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8CC9BC" w14:textId="534CA6B5" w:rsidR="003A076B" w:rsidRPr="00BF299E" w:rsidRDefault="003A076B" w:rsidP="003A0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Introduce the use of balance scales to represent balancing of equations.</w:t>
            </w:r>
            <w:r w:rsidRPr="00BF29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10E0C7" w14:textId="075FD509" w:rsidR="003A076B" w:rsidRPr="00BF299E" w:rsidRDefault="003A076B" w:rsidP="003A076B">
            <w:pPr>
              <w:rPr>
                <w:rFonts w:ascii="Arial" w:hAnsi="Arial" w:cs="Arial"/>
              </w:rPr>
            </w:pPr>
            <w:r w:rsidRPr="002E2CF7">
              <w:rPr>
                <w:rFonts w:ascii="Arial" w:hAnsi="Arial" w:cs="Arial"/>
              </w:rPr>
              <w:t>Slide</w:t>
            </w:r>
            <w:r w:rsidR="00ED63AE">
              <w:rPr>
                <w:rFonts w:ascii="Arial" w:hAnsi="Arial" w:cs="Arial"/>
              </w:rPr>
              <w:t>s</w:t>
            </w:r>
            <w:r w:rsidRPr="002E2CF7">
              <w:rPr>
                <w:rFonts w:ascii="Arial" w:hAnsi="Arial" w:cs="Arial"/>
              </w:rPr>
              <w:t xml:space="preserve"> </w:t>
            </w:r>
            <w:r w:rsidR="00C06403">
              <w:rPr>
                <w:rFonts w:ascii="Arial" w:hAnsi="Arial" w:cs="Arial"/>
              </w:rPr>
              <w:t>2</w:t>
            </w:r>
            <w:r w:rsidR="00446848">
              <w:rPr>
                <w:rFonts w:ascii="Arial" w:hAnsi="Arial" w:cs="Arial"/>
              </w:rPr>
              <w:t>–</w:t>
            </w:r>
            <w:r w:rsidRPr="002E2CF7">
              <w:rPr>
                <w:rFonts w:ascii="Arial" w:hAnsi="Arial" w:cs="Arial"/>
              </w:rPr>
              <w:t>4</w:t>
            </w:r>
          </w:p>
        </w:tc>
      </w:tr>
      <w:tr w:rsidR="003A076B" w:rsidRPr="00BF299E" w14:paraId="3984573D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67F0B7" w14:textId="5C66C7F8" w:rsidR="003A076B" w:rsidRPr="00BF299E" w:rsidRDefault="003A076B" w:rsidP="003A076B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1</w:t>
            </w:r>
          </w:p>
        </w:tc>
        <w:tc>
          <w:tcPr>
            <w:tcW w:w="2275" w:type="dxa"/>
          </w:tcPr>
          <w:p w14:paraId="528A8741" w14:textId="3D2CB8F0" w:rsidR="003A076B" w:rsidRPr="00BF299E" w:rsidRDefault="003A076B" w:rsidP="003A0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use the concept of ‘balance’ to work out the value of an unknown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739C4F" w14:textId="130C798A" w:rsidR="003A076B" w:rsidRPr="00BF299E" w:rsidRDefault="003A076B" w:rsidP="003A0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A446FD" w14:textId="0C0F8263" w:rsidR="003A076B" w:rsidRDefault="003A076B" w:rsidP="003A076B">
            <w:pPr>
              <w:rPr>
                <w:rFonts w:ascii="Arial" w:hAnsi="Arial" w:cs="Arial"/>
              </w:rPr>
            </w:pPr>
            <w:r w:rsidRPr="00B8565F">
              <w:rPr>
                <w:rFonts w:ascii="Arial" w:hAnsi="Arial" w:cs="Arial"/>
              </w:rPr>
              <w:t xml:space="preserve">Discuss the approaches that were used by Ruby and Dev. Ask </w:t>
            </w:r>
            <w:r w:rsidR="0071563C">
              <w:rPr>
                <w:rFonts w:ascii="Arial" w:hAnsi="Arial" w:cs="Arial"/>
              </w:rPr>
              <w:t>learner</w:t>
            </w:r>
            <w:r w:rsidRPr="00B8565F">
              <w:rPr>
                <w:rFonts w:ascii="Arial" w:hAnsi="Arial" w:cs="Arial"/>
              </w:rPr>
              <w:t xml:space="preserve">s to decide which approach </w:t>
            </w:r>
            <w:r w:rsidR="00AB34EE">
              <w:rPr>
                <w:rFonts w:ascii="Arial" w:hAnsi="Arial" w:cs="Arial"/>
              </w:rPr>
              <w:t xml:space="preserve">is correct </w:t>
            </w:r>
            <w:r w:rsidRPr="00B8565F">
              <w:rPr>
                <w:rFonts w:ascii="Arial" w:hAnsi="Arial" w:cs="Arial"/>
              </w:rPr>
              <w:t xml:space="preserve">and invite them to explain why.  </w:t>
            </w:r>
          </w:p>
          <w:p w14:paraId="1940586B" w14:textId="4A09BECB" w:rsidR="003A076B" w:rsidRPr="00BF299E" w:rsidRDefault="003A076B" w:rsidP="003A07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8CD2EB" w14:textId="28A6A92F" w:rsidR="003A076B" w:rsidRPr="00BF299E" w:rsidRDefault="00ED63AE" w:rsidP="003A076B">
            <w:pPr>
              <w:rPr>
                <w:rFonts w:ascii="Arial" w:hAnsi="Arial" w:cs="Arial"/>
              </w:rPr>
            </w:pPr>
            <w:r w:rsidRPr="00F2011D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F201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="00FC1D4B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7</w:t>
            </w:r>
          </w:p>
        </w:tc>
      </w:tr>
      <w:tr w:rsidR="00010DA9" w:rsidRPr="00BF299E" w14:paraId="328940F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A7A246" w14:textId="77777777" w:rsidR="00010DA9" w:rsidRPr="00BF299E" w:rsidRDefault="00010DA9" w:rsidP="00010DA9">
            <w:pPr>
              <w:keepNext/>
              <w:rPr>
                <w:rFonts w:ascii="Arial" w:hAnsi="Arial" w:cs="Arial"/>
              </w:rPr>
            </w:pPr>
            <w:r w:rsidRPr="00BF299E">
              <w:rPr>
                <w:rFonts w:ascii="Arial" w:hAnsi="Arial" w:cs="Arial"/>
              </w:rPr>
              <w:t>Explore 1</w:t>
            </w:r>
          </w:p>
        </w:tc>
        <w:tc>
          <w:tcPr>
            <w:tcW w:w="2275" w:type="dxa"/>
          </w:tcPr>
          <w:p w14:paraId="6808FF4A" w14:textId="013FF642" w:rsidR="003A076B" w:rsidRPr="00BF299E" w:rsidRDefault="00AE2DD1" w:rsidP="00001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B8565F">
              <w:rPr>
                <w:rFonts w:ascii="Arial" w:hAnsi="Arial" w:cs="Arial"/>
              </w:rPr>
              <w:t xml:space="preserve">use algebra tiles to help </w:t>
            </w:r>
            <w:r w:rsidR="0071563C">
              <w:rPr>
                <w:rFonts w:ascii="Arial" w:hAnsi="Arial" w:cs="Arial"/>
              </w:rPr>
              <w:t>learner</w:t>
            </w:r>
            <w:r w:rsidR="00B8565F">
              <w:rPr>
                <w:rFonts w:ascii="Arial" w:hAnsi="Arial" w:cs="Arial"/>
              </w:rPr>
              <w:t xml:space="preserve">s solve one-step </w:t>
            </w:r>
            <w:r w:rsidR="00183F17">
              <w:rPr>
                <w:rFonts w:ascii="Arial" w:hAnsi="Arial" w:cs="Arial"/>
              </w:rPr>
              <w:t>equations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6AC00" w14:textId="0DD6FEAC" w:rsidR="00010DA9" w:rsidRPr="00BF299E" w:rsidRDefault="0048136B" w:rsidP="00010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A0E349" w14:textId="7B937E28" w:rsidR="00B8565F" w:rsidRDefault="00B8565F" w:rsidP="00B8565F">
            <w:pPr>
              <w:rPr>
                <w:rFonts w:ascii="Arial" w:hAnsi="Arial" w:cs="Arial"/>
              </w:rPr>
            </w:pPr>
            <w:r w:rsidRPr="00B8565F"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</w:rPr>
              <w:t>e</w:t>
            </w:r>
            <w:r w:rsidRPr="00B8565F">
              <w:rPr>
                <w:rFonts w:ascii="Arial" w:hAnsi="Arial" w:cs="Arial"/>
              </w:rPr>
              <w:t xml:space="preserve"> a series of </w:t>
            </w:r>
            <w:r w:rsidR="006351D6">
              <w:rPr>
                <w:rFonts w:ascii="Arial" w:hAnsi="Arial" w:cs="Arial"/>
              </w:rPr>
              <w:t>‘</w:t>
            </w:r>
            <w:r w:rsidRPr="00B8565F">
              <w:rPr>
                <w:rFonts w:ascii="Arial" w:hAnsi="Arial" w:cs="Arial"/>
              </w:rPr>
              <w:t>think-pair-share</w:t>
            </w:r>
            <w:r w:rsidR="006351D6">
              <w:rPr>
                <w:rFonts w:ascii="Arial" w:hAnsi="Arial" w:cs="Arial"/>
              </w:rPr>
              <w:t>’</w:t>
            </w:r>
            <w:r w:rsidRPr="00B8565F">
              <w:rPr>
                <w:rFonts w:ascii="Arial" w:hAnsi="Arial" w:cs="Arial"/>
              </w:rPr>
              <w:t xml:space="preserve"> mini-activities</w:t>
            </w:r>
            <w:r>
              <w:rPr>
                <w:rFonts w:ascii="Arial" w:hAnsi="Arial" w:cs="Arial"/>
              </w:rPr>
              <w:t xml:space="preserve"> to guide </w:t>
            </w:r>
            <w:r w:rsidR="0071563C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to use algebra tiles in solving equations.</w:t>
            </w:r>
            <w:r w:rsidRPr="00B8565F">
              <w:rPr>
                <w:rFonts w:ascii="Arial" w:hAnsi="Arial" w:cs="Arial"/>
              </w:rPr>
              <w:t xml:space="preserve"> </w:t>
            </w:r>
          </w:p>
          <w:p w14:paraId="5EC57F8E" w14:textId="61226BF4" w:rsidR="00001DAA" w:rsidRDefault="00183F17" w:rsidP="00001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s</w:t>
            </w:r>
            <w:r w:rsidR="00B8565F" w:rsidRPr="00B8565F">
              <w:rPr>
                <w:rFonts w:ascii="Arial" w:hAnsi="Arial" w:cs="Arial"/>
              </w:rPr>
              <w:t>lide</w:t>
            </w:r>
            <w:r>
              <w:rPr>
                <w:rFonts w:ascii="Arial" w:hAnsi="Arial" w:cs="Arial"/>
              </w:rPr>
              <w:t xml:space="preserve">s 12 and 13 to provide </w:t>
            </w:r>
            <w:r w:rsidR="0071563C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with independent practice and check their understanding.</w:t>
            </w:r>
          </w:p>
          <w:p w14:paraId="187147FB" w14:textId="760FEBA8" w:rsidR="003A076B" w:rsidRPr="00BF299E" w:rsidRDefault="003A076B" w:rsidP="00001DA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8C2651" w14:textId="6944DB44" w:rsidR="003A076B" w:rsidRDefault="003A076B" w:rsidP="003A076B">
            <w:pPr>
              <w:rPr>
                <w:rFonts w:ascii="Arial" w:hAnsi="Arial" w:cs="Arial"/>
              </w:rPr>
            </w:pPr>
            <w:r w:rsidRPr="003A076B">
              <w:rPr>
                <w:rFonts w:ascii="Arial" w:hAnsi="Arial" w:cs="Arial"/>
              </w:rPr>
              <w:t>Slides 8</w:t>
            </w:r>
            <w:r w:rsidR="00446848">
              <w:rPr>
                <w:rFonts w:ascii="Arial" w:hAnsi="Arial" w:cs="Arial"/>
              </w:rPr>
              <w:t>–</w:t>
            </w:r>
            <w:r w:rsidRPr="003A076B">
              <w:rPr>
                <w:rFonts w:ascii="Arial" w:hAnsi="Arial" w:cs="Arial"/>
              </w:rPr>
              <w:t>1</w:t>
            </w:r>
            <w:r w:rsidR="00ED63AE">
              <w:rPr>
                <w:rFonts w:ascii="Arial" w:hAnsi="Arial" w:cs="Arial"/>
              </w:rPr>
              <w:t>3</w:t>
            </w:r>
          </w:p>
          <w:p w14:paraId="46B4DFCD" w14:textId="77777777" w:rsidR="00446848" w:rsidRPr="003A076B" w:rsidRDefault="00446848" w:rsidP="003A076B">
            <w:pPr>
              <w:rPr>
                <w:rFonts w:ascii="Arial" w:hAnsi="Arial" w:cs="Arial"/>
              </w:rPr>
            </w:pPr>
          </w:p>
          <w:p w14:paraId="7EA6C258" w14:textId="77777777" w:rsidR="003A076B" w:rsidRPr="003A076B" w:rsidRDefault="003A076B" w:rsidP="003A076B">
            <w:pPr>
              <w:rPr>
                <w:rFonts w:ascii="Arial" w:hAnsi="Arial" w:cs="Arial"/>
              </w:rPr>
            </w:pPr>
            <w:r w:rsidRPr="003A076B">
              <w:rPr>
                <w:rFonts w:ascii="Arial" w:hAnsi="Arial" w:cs="Arial"/>
              </w:rPr>
              <w:t>Algebra tiles</w:t>
            </w:r>
          </w:p>
          <w:p w14:paraId="4D82EB49" w14:textId="119CA6F5" w:rsidR="005F11E6" w:rsidRPr="00BF299E" w:rsidRDefault="003A076B" w:rsidP="00010DA9">
            <w:pPr>
              <w:rPr>
                <w:rFonts w:ascii="Arial" w:hAnsi="Arial" w:cs="Arial"/>
              </w:rPr>
            </w:pPr>
            <w:r w:rsidRPr="003A076B">
              <w:rPr>
                <w:rFonts w:ascii="Arial" w:hAnsi="Arial" w:cs="Arial"/>
              </w:rPr>
              <w:t>Mini whiteboards</w:t>
            </w:r>
          </w:p>
        </w:tc>
      </w:tr>
      <w:tr w:rsidR="00BF299E" w:rsidRPr="00BF299E" w14:paraId="4C2D02A0" w14:textId="77777777" w:rsidTr="002E2CF7">
        <w:trPr>
          <w:trHeight w:val="132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1FB4E4FF" w:rsidR="00BF299E" w:rsidRPr="00BF299E" w:rsidRDefault="00183F17" w:rsidP="00BF299E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</w:t>
            </w:r>
            <w:r w:rsidR="00BF299E" w:rsidRPr="00BF299E">
              <w:rPr>
                <w:rFonts w:ascii="Arial" w:hAnsi="Arial" w:cs="Arial"/>
              </w:rPr>
              <w:t xml:space="preserve"> </w:t>
            </w:r>
            <w:r w:rsidR="009414D7">
              <w:rPr>
                <w:rFonts w:ascii="Arial" w:hAnsi="Arial" w:cs="Arial"/>
              </w:rPr>
              <w:t>2</w:t>
            </w:r>
          </w:p>
        </w:tc>
        <w:tc>
          <w:tcPr>
            <w:tcW w:w="2275" w:type="dxa"/>
          </w:tcPr>
          <w:p w14:paraId="1F573DAB" w14:textId="7312F6F0" w:rsidR="003A076B" w:rsidRPr="00BF299E" w:rsidRDefault="00183F17" w:rsidP="00BF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use algebra tiles to help </w:t>
            </w:r>
            <w:r w:rsidR="0071563C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solve multi-step equations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59A44" w14:textId="0AE10C21" w:rsidR="00BF299E" w:rsidRPr="00BF299E" w:rsidRDefault="00BF299E" w:rsidP="00BF299E">
            <w:pPr>
              <w:jc w:val="center"/>
              <w:rPr>
                <w:rFonts w:ascii="Arial" w:hAnsi="Arial" w:cs="Arial"/>
              </w:rPr>
            </w:pPr>
            <w:r w:rsidRPr="00BF299E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5C180B" w14:textId="303281FD" w:rsidR="003A076B" w:rsidRPr="00BF299E" w:rsidRDefault="00311775" w:rsidP="001F2B71">
            <w:pPr>
              <w:rPr>
                <w:rFonts w:ascii="Arial" w:hAnsi="Arial" w:cs="Arial"/>
              </w:rPr>
            </w:pPr>
            <w:r w:rsidRPr="00B8565F"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</w:rPr>
              <w:t>e</w:t>
            </w:r>
            <w:r w:rsidRPr="00B8565F">
              <w:rPr>
                <w:rFonts w:ascii="Arial" w:hAnsi="Arial" w:cs="Arial"/>
              </w:rPr>
              <w:t xml:space="preserve"> a series of </w:t>
            </w:r>
            <w:r w:rsidR="003C7DE5">
              <w:rPr>
                <w:rFonts w:ascii="Arial" w:hAnsi="Arial" w:cs="Arial"/>
              </w:rPr>
              <w:t>‘</w:t>
            </w:r>
            <w:r w:rsidRPr="00B8565F">
              <w:rPr>
                <w:rFonts w:ascii="Arial" w:hAnsi="Arial" w:cs="Arial"/>
              </w:rPr>
              <w:t>think-pair-share</w:t>
            </w:r>
            <w:r w:rsidR="003C7DE5">
              <w:rPr>
                <w:rFonts w:ascii="Arial" w:hAnsi="Arial" w:cs="Arial"/>
              </w:rPr>
              <w:t>’</w:t>
            </w:r>
            <w:r w:rsidRPr="00B8565F">
              <w:rPr>
                <w:rFonts w:ascii="Arial" w:hAnsi="Arial" w:cs="Arial"/>
              </w:rPr>
              <w:t xml:space="preserve"> mini-activities</w:t>
            </w:r>
            <w:r>
              <w:rPr>
                <w:rFonts w:ascii="Arial" w:hAnsi="Arial" w:cs="Arial"/>
              </w:rPr>
              <w:t xml:space="preserve"> to guide </w:t>
            </w:r>
            <w:r w:rsidR="0071563C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 xml:space="preserve">s to use algebra tiles in solving equations. </w:t>
            </w:r>
            <w:r w:rsidR="0071563C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should have moved away from balance scales and are using only algebra tiles.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3AA1DC" w14:textId="09FC68FC" w:rsidR="003A076B" w:rsidRDefault="003A076B" w:rsidP="003A076B">
            <w:pPr>
              <w:rPr>
                <w:rFonts w:ascii="Arial" w:hAnsi="Arial" w:cs="Arial"/>
              </w:rPr>
            </w:pPr>
            <w:r w:rsidRPr="003A076B">
              <w:rPr>
                <w:rFonts w:ascii="Arial" w:hAnsi="Arial" w:cs="Arial"/>
              </w:rPr>
              <w:t>Slide 1</w:t>
            </w:r>
            <w:r w:rsidR="00ED63AE">
              <w:rPr>
                <w:rFonts w:ascii="Arial" w:hAnsi="Arial" w:cs="Arial"/>
              </w:rPr>
              <w:t>4</w:t>
            </w:r>
            <w:r w:rsidR="00446848">
              <w:rPr>
                <w:rFonts w:ascii="Arial" w:hAnsi="Arial" w:cs="Arial"/>
              </w:rPr>
              <w:t>–</w:t>
            </w:r>
            <w:r w:rsidRPr="003A076B">
              <w:rPr>
                <w:rFonts w:ascii="Arial" w:hAnsi="Arial" w:cs="Arial"/>
              </w:rPr>
              <w:t>1</w:t>
            </w:r>
            <w:r w:rsidR="00AB34EE">
              <w:rPr>
                <w:rFonts w:ascii="Arial" w:hAnsi="Arial" w:cs="Arial"/>
              </w:rPr>
              <w:t>9</w:t>
            </w:r>
          </w:p>
          <w:p w14:paraId="65C4B392" w14:textId="77777777" w:rsidR="00446848" w:rsidRPr="003A076B" w:rsidRDefault="00446848" w:rsidP="003A076B">
            <w:pPr>
              <w:rPr>
                <w:rFonts w:ascii="Arial" w:hAnsi="Arial" w:cs="Arial"/>
              </w:rPr>
            </w:pPr>
          </w:p>
          <w:p w14:paraId="6F1322DA" w14:textId="4EE56D09" w:rsidR="00BF299E" w:rsidRPr="00BF299E" w:rsidRDefault="003A076B" w:rsidP="00BF299E">
            <w:pPr>
              <w:rPr>
                <w:rFonts w:ascii="Arial" w:hAnsi="Arial" w:cs="Arial"/>
              </w:rPr>
            </w:pPr>
            <w:r w:rsidRPr="003A076B">
              <w:rPr>
                <w:rFonts w:ascii="Arial" w:hAnsi="Arial" w:cs="Arial"/>
              </w:rPr>
              <w:t>Algebra tiles</w:t>
            </w:r>
          </w:p>
        </w:tc>
      </w:tr>
    </w:tbl>
    <w:p w14:paraId="782D918E" w14:textId="0735FBFC" w:rsidR="00E758AE" w:rsidRDefault="00E758AE" w:rsidP="00E758AE"/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BF299E" w14:paraId="176EF875" w14:textId="77777777" w:rsidTr="000A4749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B4060" w14:textId="77777777" w:rsidR="00E758AE" w:rsidRPr="00BF299E" w:rsidRDefault="00E758AE" w:rsidP="000A4749">
            <w:pPr>
              <w:pStyle w:val="Tableheader"/>
              <w:jc w:val="center"/>
            </w:pPr>
            <w:bookmarkStart w:id="3" w:name="_Hlk124947123"/>
            <w:r w:rsidRPr="00BF299E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6A15F58" w14:textId="77777777" w:rsidR="00E758AE" w:rsidRPr="00BF299E" w:rsidRDefault="00E758AE" w:rsidP="000A4749">
            <w:pPr>
              <w:pStyle w:val="Tableheader"/>
              <w:jc w:val="center"/>
            </w:pPr>
            <w:r w:rsidRPr="00BF299E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37CDA" w14:textId="77777777" w:rsidR="00E758AE" w:rsidRPr="00BF299E" w:rsidRDefault="00E758AE" w:rsidP="000A4749">
            <w:pPr>
              <w:pStyle w:val="Tableheader"/>
              <w:jc w:val="center"/>
            </w:pPr>
            <w:r w:rsidRPr="00BF299E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96E6B" w14:textId="77777777" w:rsidR="00E758AE" w:rsidRPr="00BF299E" w:rsidRDefault="00E758AE" w:rsidP="000A4749">
            <w:pPr>
              <w:pStyle w:val="Tableheader"/>
              <w:jc w:val="center"/>
            </w:pPr>
            <w:r w:rsidRPr="00BF299E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DD3B1" w14:textId="77777777" w:rsidR="00E758AE" w:rsidRPr="00BF299E" w:rsidRDefault="00E758AE" w:rsidP="000A4749">
            <w:pPr>
              <w:pStyle w:val="Tableheader"/>
              <w:jc w:val="center"/>
            </w:pPr>
            <w:r w:rsidRPr="00BF299E">
              <w:t>Materials</w:t>
            </w:r>
          </w:p>
        </w:tc>
      </w:tr>
      <w:tr w:rsidR="00446848" w:rsidRPr="00BF299E" w14:paraId="115590DE" w14:textId="77777777" w:rsidTr="00ED63AE">
        <w:trPr>
          <w:trHeight w:val="660"/>
          <w:tblHeader/>
        </w:trPr>
        <w:tc>
          <w:tcPr>
            <w:tcW w:w="1860" w:type="dxa"/>
            <w:tcBorders>
              <w:bottom w:val="single" w:sz="6" w:space="0" w:color="4472C4" w:themeColor="accent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7CA031" w14:textId="76F1CA57" w:rsidR="00446848" w:rsidRPr="00BF299E" w:rsidRDefault="00446848" w:rsidP="00446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2</w:t>
            </w:r>
          </w:p>
        </w:tc>
        <w:tc>
          <w:tcPr>
            <w:tcW w:w="2275" w:type="dxa"/>
            <w:tcBorders>
              <w:bottom w:val="single" w:sz="6" w:space="0" w:color="4472C4" w:themeColor="accent1"/>
            </w:tcBorders>
          </w:tcPr>
          <w:p w14:paraId="361A60ED" w14:textId="3D2494E7" w:rsidR="00446848" w:rsidRDefault="00446848" w:rsidP="00446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get </w:t>
            </w:r>
            <w:r w:rsidR="0071563C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to address a misconception</w:t>
            </w:r>
          </w:p>
        </w:tc>
        <w:tc>
          <w:tcPr>
            <w:tcW w:w="1134" w:type="dxa"/>
            <w:tcBorders>
              <w:bottom w:val="single" w:sz="6" w:space="0" w:color="4472C4" w:themeColor="accent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0537DE" w14:textId="6DD6AB99" w:rsidR="00446848" w:rsidRPr="00BF299E" w:rsidRDefault="00446848" w:rsidP="004468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Borders>
              <w:bottom w:val="single" w:sz="6" w:space="0" w:color="4472C4" w:themeColor="accent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D1C56" w14:textId="6F2ED1E8" w:rsidR="00446848" w:rsidRDefault="00446848" w:rsidP="00446848">
            <w:pPr>
              <w:rPr>
                <w:rFonts w:ascii="Arial" w:hAnsi="Arial" w:cs="Arial"/>
              </w:rPr>
            </w:pPr>
            <w:r w:rsidRPr="00AB34EE">
              <w:rPr>
                <w:rFonts w:ascii="Arial" w:hAnsi="Arial" w:cs="Arial"/>
              </w:rPr>
              <w:t xml:space="preserve">Discuss the approaches that were used by Ruby and Dev. Ask </w:t>
            </w:r>
            <w:r w:rsidR="0071563C">
              <w:rPr>
                <w:rFonts w:ascii="Arial" w:hAnsi="Arial" w:cs="Arial"/>
              </w:rPr>
              <w:t>learner</w:t>
            </w:r>
            <w:r w:rsidRPr="00AB34EE">
              <w:rPr>
                <w:rFonts w:ascii="Arial" w:hAnsi="Arial" w:cs="Arial"/>
              </w:rPr>
              <w:t xml:space="preserve">s to decide which approach </w:t>
            </w:r>
            <w:r>
              <w:rPr>
                <w:rFonts w:ascii="Arial" w:hAnsi="Arial" w:cs="Arial"/>
              </w:rPr>
              <w:t xml:space="preserve">is correct </w:t>
            </w:r>
            <w:r w:rsidRPr="00AB34EE">
              <w:rPr>
                <w:rFonts w:ascii="Arial" w:hAnsi="Arial" w:cs="Arial"/>
              </w:rPr>
              <w:t xml:space="preserve">and invite them to explain why.  </w:t>
            </w:r>
          </w:p>
        </w:tc>
        <w:tc>
          <w:tcPr>
            <w:tcW w:w="1701" w:type="dxa"/>
            <w:tcBorders>
              <w:bottom w:val="single" w:sz="6" w:space="0" w:color="4472C4" w:themeColor="accent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74DD2C" w14:textId="18C188E8" w:rsidR="00446848" w:rsidRPr="003A076B" w:rsidRDefault="00446848" w:rsidP="00446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20</w:t>
            </w:r>
          </w:p>
        </w:tc>
      </w:tr>
      <w:tr w:rsidR="00446848" w:rsidRPr="00BF299E" w14:paraId="3141F8F8" w14:textId="77777777" w:rsidTr="002E2CF7">
        <w:trPr>
          <w:trHeight w:val="660"/>
          <w:tblHeader/>
        </w:trPr>
        <w:tc>
          <w:tcPr>
            <w:tcW w:w="1860" w:type="dxa"/>
            <w:tcBorders>
              <w:bottom w:val="single" w:sz="6" w:space="0" w:color="4472C4" w:themeColor="accent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578324" w14:textId="63D1A34A" w:rsidR="00446848" w:rsidRPr="00BF299E" w:rsidRDefault="00446848" w:rsidP="00446848">
            <w:pPr>
              <w:rPr>
                <w:rFonts w:ascii="Arial" w:hAnsi="Arial" w:cs="Arial"/>
              </w:rPr>
            </w:pPr>
            <w:r w:rsidRPr="00BF299E">
              <w:rPr>
                <w:rFonts w:ascii="Arial" w:hAnsi="Arial" w:cs="Arial"/>
              </w:rPr>
              <w:t xml:space="preserve">Explore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275" w:type="dxa"/>
            <w:tcBorders>
              <w:bottom w:val="single" w:sz="6" w:space="0" w:color="4472C4" w:themeColor="accent1"/>
            </w:tcBorders>
          </w:tcPr>
          <w:p w14:paraId="4B4EB95E" w14:textId="2D82D400" w:rsidR="00446848" w:rsidRPr="00BF299E" w:rsidRDefault="00446848" w:rsidP="00446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deepen </w:t>
            </w:r>
            <w:r w:rsidR="0071563C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s’ understanding of how to solve one-step and multi-step equations</w:t>
            </w:r>
          </w:p>
        </w:tc>
        <w:tc>
          <w:tcPr>
            <w:tcW w:w="1134" w:type="dxa"/>
            <w:tcBorders>
              <w:bottom w:val="single" w:sz="6" w:space="0" w:color="4472C4" w:themeColor="accent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2A3B51" w14:textId="73685CCB" w:rsidR="00446848" w:rsidRPr="00BF299E" w:rsidRDefault="00446848" w:rsidP="00446848">
            <w:pPr>
              <w:jc w:val="center"/>
              <w:rPr>
                <w:rFonts w:ascii="Arial" w:hAnsi="Arial" w:cs="Arial"/>
              </w:rPr>
            </w:pPr>
            <w:r w:rsidRPr="00BF299E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Borders>
              <w:bottom w:val="single" w:sz="6" w:space="0" w:color="4472C4" w:themeColor="accent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32690B" w14:textId="59E90245" w:rsidR="00446848" w:rsidRPr="00BF299E" w:rsidRDefault="00446848" w:rsidP="00446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</w:t>
            </w:r>
            <w:r w:rsidR="0071563C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 xml:space="preserve">s to work in pairs to solve and categorise equations according to the number of steps required to solve the equation. As an extension, ask </w:t>
            </w:r>
            <w:r w:rsidR="0071563C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to create their own equations.</w:t>
            </w:r>
          </w:p>
        </w:tc>
        <w:tc>
          <w:tcPr>
            <w:tcW w:w="1701" w:type="dxa"/>
            <w:tcBorders>
              <w:bottom w:val="single" w:sz="6" w:space="0" w:color="4472C4" w:themeColor="accent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03E758" w14:textId="5B08FB17" w:rsidR="00446848" w:rsidRPr="003A076B" w:rsidRDefault="00446848" w:rsidP="00446848">
            <w:pPr>
              <w:rPr>
                <w:rFonts w:ascii="Arial" w:hAnsi="Arial" w:cs="Arial"/>
              </w:rPr>
            </w:pPr>
            <w:r w:rsidRPr="003A076B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3A07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21–26</w:t>
            </w:r>
          </w:p>
          <w:p w14:paraId="03D825D0" w14:textId="77777777" w:rsidR="00446848" w:rsidRPr="003A076B" w:rsidRDefault="00446848" w:rsidP="00446848">
            <w:pPr>
              <w:rPr>
                <w:rFonts w:ascii="Arial" w:hAnsi="Arial" w:cs="Arial"/>
              </w:rPr>
            </w:pPr>
          </w:p>
          <w:p w14:paraId="51F4A3EF" w14:textId="3BC39D6A" w:rsidR="00446848" w:rsidRPr="00BF299E" w:rsidRDefault="00446848" w:rsidP="00446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</w:t>
            </w:r>
            <w:r w:rsidRPr="003A076B">
              <w:rPr>
                <w:rFonts w:ascii="Arial" w:hAnsi="Arial" w:cs="Arial"/>
              </w:rPr>
              <w:t>Solving equations</w:t>
            </w:r>
            <w:r>
              <w:rPr>
                <w:rFonts w:ascii="Arial" w:hAnsi="Arial" w:cs="Arial"/>
              </w:rPr>
              <w:t xml:space="preserve">’ </w:t>
            </w:r>
            <w:r w:rsidRPr="003A076B">
              <w:rPr>
                <w:rFonts w:ascii="Arial" w:hAnsi="Arial" w:cs="Arial"/>
              </w:rPr>
              <w:t>handout</w:t>
            </w:r>
          </w:p>
        </w:tc>
      </w:tr>
      <w:tr w:rsidR="00446848" w:rsidRPr="00BF299E" w14:paraId="673F7A6E" w14:textId="77777777" w:rsidTr="002E2CF7">
        <w:trPr>
          <w:trHeight w:val="660"/>
          <w:tblHeader/>
        </w:trPr>
        <w:tc>
          <w:tcPr>
            <w:tcW w:w="1860" w:type="dxa"/>
            <w:tcBorders>
              <w:bottom w:val="single" w:sz="2" w:space="0" w:color="4472C4" w:themeColor="accent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3E5B1A" w14:textId="6344B49D" w:rsidR="00446848" w:rsidRPr="00BF299E" w:rsidRDefault="00446848" w:rsidP="00446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4</w:t>
            </w:r>
          </w:p>
        </w:tc>
        <w:tc>
          <w:tcPr>
            <w:tcW w:w="2275" w:type="dxa"/>
            <w:tcBorders>
              <w:bottom w:val="single" w:sz="2" w:space="0" w:color="4472C4" w:themeColor="accent1"/>
            </w:tcBorders>
          </w:tcPr>
          <w:p w14:paraId="4E39A992" w14:textId="77E72013" w:rsidR="00446848" w:rsidRPr="00BF299E" w:rsidRDefault="00446848" w:rsidP="00446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check </w:t>
            </w:r>
            <w:r w:rsidR="0071563C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 xml:space="preserve">s’ understanding and consolidate their learning through confrontation and discussion of common misconceptions </w:t>
            </w:r>
            <w:r w:rsidRPr="00BF29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bottom w:val="single" w:sz="2" w:space="0" w:color="4472C4" w:themeColor="accent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2B1790" w14:textId="0B44DC36" w:rsidR="00446848" w:rsidRPr="00BF299E" w:rsidRDefault="00446848" w:rsidP="00446848">
            <w:pPr>
              <w:jc w:val="center"/>
              <w:rPr>
                <w:rFonts w:ascii="Arial" w:hAnsi="Arial" w:cs="Arial"/>
              </w:rPr>
            </w:pPr>
            <w:r w:rsidRPr="00BF299E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Borders>
              <w:bottom w:val="single" w:sz="2" w:space="0" w:color="4472C4" w:themeColor="accent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B88514" w14:textId="78C66AF1" w:rsidR="00446848" w:rsidRPr="004044E6" w:rsidRDefault="0071563C" w:rsidP="00446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="00446848" w:rsidRPr="004044E6">
              <w:rPr>
                <w:rFonts w:ascii="Arial" w:hAnsi="Arial" w:cs="Arial"/>
              </w:rPr>
              <w:t>s evaluate a selection of worked examples.</w:t>
            </w:r>
          </w:p>
          <w:p w14:paraId="3133BAC4" w14:textId="6B592C5B" w:rsidR="00446848" w:rsidRPr="00BF299E" w:rsidRDefault="00446848" w:rsidP="00446848">
            <w:pPr>
              <w:rPr>
                <w:rFonts w:eastAsia="Helvetica Neue"/>
                <w:highlight w:val="white"/>
              </w:rPr>
            </w:pPr>
            <w:r w:rsidRPr="004044E6">
              <w:rPr>
                <w:rFonts w:ascii="Arial" w:hAnsi="Arial" w:cs="Arial"/>
              </w:rPr>
              <w:t xml:space="preserve">Explain to </w:t>
            </w:r>
            <w:r w:rsidR="0071563C">
              <w:rPr>
                <w:rFonts w:ascii="Arial" w:hAnsi="Arial" w:cs="Arial"/>
              </w:rPr>
              <w:t>learner</w:t>
            </w:r>
            <w:r w:rsidRPr="004044E6">
              <w:rPr>
                <w:rFonts w:ascii="Arial" w:hAnsi="Arial" w:cs="Arial"/>
              </w:rPr>
              <w:t>s that each of</w:t>
            </w:r>
            <w:r>
              <w:rPr>
                <w:rFonts w:ascii="Arial" w:hAnsi="Arial" w:cs="Arial"/>
              </w:rPr>
              <w:t xml:space="preserve"> the</w:t>
            </w:r>
            <w:r w:rsidRPr="004044E6">
              <w:rPr>
                <w:rFonts w:ascii="Arial" w:hAnsi="Arial" w:cs="Arial"/>
              </w:rPr>
              <w:t xml:space="preserve"> examples </w:t>
            </w:r>
            <w:r w:rsidR="003C7DE5" w:rsidRPr="004044E6">
              <w:rPr>
                <w:rFonts w:ascii="Arial" w:hAnsi="Arial" w:cs="Arial"/>
              </w:rPr>
              <w:t>ha</w:t>
            </w:r>
            <w:r w:rsidR="003C7DE5">
              <w:rPr>
                <w:rFonts w:ascii="Arial" w:hAnsi="Arial" w:cs="Arial"/>
              </w:rPr>
              <w:t>ve</w:t>
            </w:r>
            <w:r w:rsidR="003C7DE5" w:rsidRPr="004044E6">
              <w:rPr>
                <w:rFonts w:ascii="Arial" w:hAnsi="Arial" w:cs="Arial"/>
              </w:rPr>
              <w:t xml:space="preserve"> </w:t>
            </w:r>
            <w:r w:rsidRPr="004044E6">
              <w:rPr>
                <w:rFonts w:ascii="Arial" w:hAnsi="Arial" w:cs="Arial"/>
              </w:rPr>
              <w:t xml:space="preserve">one mistake in them. Ask </w:t>
            </w:r>
            <w:r w:rsidR="0071563C">
              <w:rPr>
                <w:rFonts w:ascii="Arial" w:hAnsi="Arial" w:cs="Arial"/>
              </w:rPr>
              <w:t>learner</w:t>
            </w:r>
            <w:r w:rsidRPr="004044E6">
              <w:rPr>
                <w:rFonts w:ascii="Arial" w:hAnsi="Arial" w:cs="Arial"/>
              </w:rPr>
              <w:t xml:space="preserve">s to provide a correct alternative and give advice </w:t>
            </w:r>
            <w:r>
              <w:rPr>
                <w:rFonts w:ascii="Arial" w:hAnsi="Arial" w:cs="Arial"/>
              </w:rPr>
              <w:t>on avoiding such mistakes.</w:t>
            </w:r>
            <w:r w:rsidRPr="004044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bottom w:val="single" w:sz="2" w:space="0" w:color="4472C4" w:themeColor="accent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A07296" w14:textId="07F0C1AF" w:rsidR="00446848" w:rsidRPr="003A076B" w:rsidRDefault="00446848" w:rsidP="00446848">
            <w:pPr>
              <w:rPr>
                <w:rFonts w:ascii="Arial" w:hAnsi="Arial" w:cs="Arial"/>
              </w:rPr>
            </w:pPr>
            <w:r w:rsidRPr="003A076B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3A076B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7–3</w:t>
            </w:r>
            <w:r w:rsidR="00DC4ECA">
              <w:rPr>
                <w:rFonts w:ascii="Arial" w:hAnsi="Arial" w:cs="Arial"/>
              </w:rPr>
              <w:t>2</w:t>
            </w:r>
          </w:p>
          <w:p w14:paraId="36784350" w14:textId="77777777" w:rsidR="00446848" w:rsidRPr="003A076B" w:rsidRDefault="00446848" w:rsidP="00446848">
            <w:pPr>
              <w:rPr>
                <w:rFonts w:ascii="Arial" w:hAnsi="Arial" w:cs="Arial"/>
              </w:rPr>
            </w:pPr>
          </w:p>
          <w:p w14:paraId="5548DC7D" w14:textId="5277AEFA" w:rsidR="00446848" w:rsidRPr="00BF299E" w:rsidRDefault="00446848" w:rsidP="00446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</w:t>
            </w:r>
            <w:r w:rsidRPr="003A076B">
              <w:rPr>
                <w:rFonts w:ascii="Arial" w:hAnsi="Arial" w:cs="Arial"/>
              </w:rPr>
              <w:t>Spot the mistake</w:t>
            </w:r>
            <w:r>
              <w:rPr>
                <w:rFonts w:ascii="Arial" w:hAnsi="Arial" w:cs="Arial"/>
              </w:rPr>
              <w:t>’</w:t>
            </w:r>
            <w:r w:rsidRPr="003A076B">
              <w:rPr>
                <w:rFonts w:ascii="Arial" w:hAnsi="Arial" w:cs="Arial"/>
              </w:rPr>
              <w:t xml:space="preserve"> handout</w:t>
            </w:r>
          </w:p>
        </w:tc>
      </w:tr>
      <w:bookmarkEnd w:id="3"/>
    </w:tbl>
    <w:p w14:paraId="3D10AEB7" w14:textId="0BC062CB" w:rsidR="00E758AE" w:rsidRDefault="00E758AE" w:rsidP="00E758AE"/>
    <w:p w14:paraId="6E9AC8A8" w14:textId="4310B6BD" w:rsidR="00BF299E" w:rsidRDefault="00BF299E" w:rsidP="00E758AE"/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BF299E" w:rsidRPr="00BF299E" w14:paraId="084BB830" w14:textId="77777777" w:rsidTr="00CE22E9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5D2C70" w14:textId="77777777" w:rsidR="00BF299E" w:rsidRPr="00BF299E" w:rsidRDefault="00BF299E" w:rsidP="00CE22E9">
            <w:pPr>
              <w:pStyle w:val="Tableheader"/>
              <w:jc w:val="center"/>
            </w:pPr>
            <w:r w:rsidRPr="00BF299E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057E6F7A" w14:textId="77777777" w:rsidR="00BF299E" w:rsidRPr="00BF299E" w:rsidRDefault="00BF299E" w:rsidP="00CE22E9">
            <w:pPr>
              <w:pStyle w:val="Tableheader"/>
              <w:jc w:val="center"/>
            </w:pPr>
            <w:r w:rsidRPr="00BF299E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8743EE" w14:textId="77777777" w:rsidR="00BF299E" w:rsidRPr="00BF299E" w:rsidRDefault="00BF299E" w:rsidP="00CE22E9">
            <w:pPr>
              <w:pStyle w:val="Tableheader"/>
              <w:jc w:val="center"/>
            </w:pPr>
            <w:r w:rsidRPr="00BF299E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45EC8A" w14:textId="77777777" w:rsidR="00BF299E" w:rsidRPr="00BF299E" w:rsidRDefault="00BF299E" w:rsidP="00CE22E9">
            <w:pPr>
              <w:pStyle w:val="Tableheader"/>
              <w:jc w:val="center"/>
            </w:pPr>
            <w:r w:rsidRPr="00BF299E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900CE6" w14:textId="77777777" w:rsidR="00BF299E" w:rsidRPr="00BF299E" w:rsidRDefault="00BF299E" w:rsidP="00CE22E9">
            <w:pPr>
              <w:pStyle w:val="Tableheader"/>
              <w:jc w:val="center"/>
            </w:pPr>
            <w:r w:rsidRPr="00BF299E">
              <w:t>Materials</w:t>
            </w:r>
          </w:p>
        </w:tc>
      </w:tr>
      <w:tr w:rsidR="00BF299E" w:rsidRPr="00BF299E" w14:paraId="3E80A1DB" w14:textId="77777777" w:rsidTr="00CE22E9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CEC5EF" w14:textId="58B83BDD" w:rsidR="00BF299E" w:rsidRPr="00BF299E" w:rsidRDefault="00BF299E" w:rsidP="00CE22E9">
            <w:pPr>
              <w:rPr>
                <w:rFonts w:ascii="Arial" w:hAnsi="Arial" w:cs="Arial"/>
              </w:rPr>
            </w:pPr>
            <w:r w:rsidRPr="00BF299E">
              <w:rPr>
                <w:rFonts w:ascii="Arial" w:hAnsi="Arial" w:cs="Arial"/>
              </w:rPr>
              <w:t xml:space="preserve">Practice </w:t>
            </w:r>
            <w:r w:rsidR="005F592C">
              <w:rPr>
                <w:rFonts w:ascii="Arial" w:hAnsi="Arial" w:cs="Arial"/>
              </w:rPr>
              <w:t>question</w:t>
            </w:r>
            <w:r w:rsidR="001E736F">
              <w:rPr>
                <w:rFonts w:ascii="Arial" w:hAnsi="Arial" w:cs="Arial"/>
              </w:rPr>
              <w:t>s</w:t>
            </w:r>
          </w:p>
        </w:tc>
        <w:tc>
          <w:tcPr>
            <w:tcW w:w="2275" w:type="dxa"/>
          </w:tcPr>
          <w:p w14:paraId="31CCFEB6" w14:textId="0B6B6686" w:rsidR="003A076B" w:rsidRPr="00BF299E" w:rsidRDefault="0071563C" w:rsidP="00CE22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="00F826E2">
              <w:rPr>
                <w:rFonts w:ascii="Arial" w:hAnsi="Arial" w:cs="Arial"/>
              </w:rPr>
              <w:t>s apply their knowledge to exam question</w:t>
            </w:r>
            <w:r w:rsidR="001E736F">
              <w:rPr>
                <w:rFonts w:ascii="Arial" w:hAnsi="Arial" w:cs="Arial"/>
              </w:rPr>
              <w:t>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546CED" w14:textId="5D9B9EE3" w:rsidR="00BF299E" w:rsidRPr="00BF299E" w:rsidRDefault="005F592C" w:rsidP="00CE22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F299E" w:rsidRPr="00BF299E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BDF311" w14:textId="3248D961" w:rsidR="00BF299E" w:rsidRPr="00BF299E" w:rsidRDefault="00D67EE3" w:rsidP="00903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</w:t>
            </w:r>
            <w:r w:rsidR="0071563C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 xml:space="preserve">s to </w:t>
            </w:r>
            <w:r w:rsidR="00BF299E" w:rsidRPr="00BF299E">
              <w:rPr>
                <w:rFonts w:ascii="Arial" w:hAnsi="Arial" w:cs="Arial"/>
              </w:rPr>
              <w:t>work independently</w:t>
            </w:r>
            <w:r>
              <w:rPr>
                <w:rFonts w:ascii="Arial" w:hAnsi="Arial" w:cs="Arial"/>
              </w:rPr>
              <w:t xml:space="preserve"> to answer exam questions</w:t>
            </w:r>
            <w:r w:rsidR="00BF299E" w:rsidRPr="00BF299E">
              <w:rPr>
                <w:rFonts w:ascii="Arial" w:hAnsi="Arial" w:cs="Arial"/>
              </w:rPr>
              <w:t xml:space="preserve">. </w:t>
            </w:r>
          </w:p>
          <w:p w14:paraId="0BD1478F" w14:textId="0BA22262" w:rsidR="003A076B" w:rsidRPr="00BF299E" w:rsidRDefault="009036D0" w:rsidP="003A0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After they have completed the task, ask </w:t>
            </w:r>
            <w:r w:rsidR="0071563C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 xml:space="preserve">s to discuss their </w:t>
            </w:r>
            <w:r w:rsidR="00DC0FC6">
              <w:rPr>
                <w:rFonts w:ascii="Arial" w:hAnsi="Arial" w:cs="Arial"/>
              </w:rPr>
              <w:t xml:space="preserve">methods and </w:t>
            </w:r>
            <w:r>
              <w:rPr>
                <w:rFonts w:ascii="Arial" w:hAnsi="Arial" w:cs="Arial"/>
              </w:rPr>
              <w:t>thinking</w:t>
            </w:r>
            <w:r w:rsidR="003A076B" w:rsidRPr="003A076B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64206D" w14:textId="752B0C81" w:rsidR="00BF299E" w:rsidRDefault="003A076B" w:rsidP="00CE22E9">
            <w:pPr>
              <w:rPr>
                <w:rFonts w:ascii="Arial" w:hAnsi="Arial" w:cs="Arial"/>
              </w:rPr>
            </w:pPr>
            <w:r w:rsidRPr="003A076B">
              <w:rPr>
                <w:rFonts w:ascii="Arial" w:hAnsi="Arial" w:cs="Arial"/>
              </w:rPr>
              <w:t xml:space="preserve">Slides </w:t>
            </w:r>
            <w:r w:rsidR="00DC4ECA">
              <w:rPr>
                <w:rFonts w:ascii="Arial" w:hAnsi="Arial" w:cs="Arial"/>
              </w:rPr>
              <w:t>33</w:t>
            </w:r>
            <w:r w:rsidR="004F379B">
              <w:rPr>
                <w:rFonts w:ascii="Arial" w:hAnsi="Arial" w:cs="Arial"/>
              </w:rPr>
              <w:t>–</w:t>
            </w:r>
            <w:r w:rsidR="00DC4ECA">
              <w:rPr>
                <w:rFonts w:ascii="Arial" w:hAnsi="Arial" w:cs="Arial"/>
              </w:rPr>
              <w:t>35</w:t>
            </w:r>
          </w:p>
          <w:p w14:paraId="77A57A26" w14:textId="77777777" w:rsidR="003A076B" w:rsidRPr="00BF299E" w:rsidRDefault="003A076B" w:rsidP="00CE22E9">
            <w:pPr>
              <w:rPr>
                <w:rFonts w:ascii="Arial" w:hAnsi="Arial" w:cs="Arial"/>
              </w:rPr>
            </w:pPr>
          </w:p>
          <w:p w14:paraId="213CC10D" w14:textId="7BB03AF5" w:rsidR="00BF299E" w:rsidRPr="00BF299E" w:rsidRDefault="000D5272" w:rsidP="00CE22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</w:t>
            </w:r>
            <w:r w:rsidR="00BF299E" w:rsidRPr="00BF299E">
              <w:rPr>
                <w:rFonts w:ascii="Arial" w:hAnsi="Arial" w:cs="Arial"/>
              </w:rPr>
              <w:t xml:space="preserve">Exam </w:t>
            </w:r>
            <w:r w:rsidR="004F379B">
              <w:rPr>
                <w:rFonts w:ascii="Arial" w:hAnsi="Arial" w:cs="Arial"/>
              </w:rPr>
              <w:t>p</w:t>
            </w:r>
            <w:r w:rsidR="00BF299E" w:rsidRPr="00BF299E">
              <w:rPr>
                <w:rFonts w:ascii="Arial" w:hAnsi="Arial" w:cs="Arial"/>
              </w:rPr>
              <w:t>ractice</w:t>
            </w:r>
            <w:r w:rsidR="004F379B">
              <w:rPr>
                <w:rFonts w:ascii="Arial" w:hAnsi="Arial" w:cs="Arial"/>
              </w:rPr>
              <w:t>’</w:t>
            </w:r>
            <w:r w:rsidR="00BF299E" w:rsidRPr="00BF299E">
              <w:rPr>
                <w:rFonts w:ascii="Arial" w:hAnsi="Arial" w:cs="Arial"/>
              </w:rPr>
              <w:t xml:space="preserve"> </w:t>
            </w:r>
            <w:r w:rsidR="004F379B">
              <w:rPr>
                <w:rFonts w:ascii="Arial" w:hAnsi="Arial" w:cs="Arial"/>
              </w:rPr>
              <w:t>h</w:t>
            </w:r>
            <w:r w:rsidR="00BF299E" w:rsidRPr="00BF299E">
              <w:rPr>
                <w:rFonts w:ascii="Arial" w:hAnsi="Arial" w:cs="Arial"/>
              </w:rPr>
              <w:t>andout</w:t>
            </w:r>
          </w:p>
          <w:p w14:paraId="32C6E631" w14:textId="77777777" w:rsidR="00BF299E" w:rsidRPr="00BF299E" w:rsidRDefault="00BF299E" w:rsidP="00CE22E9">
            <w:pPr>
              <w:rPr>
                <w:rFonts w:ascii="Arial" w:hAnsi="Arial" w:cs="Arial"/>
              </w:rPr>
            </w:pPr>
          </w:p>
          <w:p w14:paraId="1379B0CF" w14:textId="77777777" w:rsidR="00BF299E" w:rsidRPr="00BF299E" w:rsidRDefault="00BF299E" w:rsidP="00CE22E9">
            <w:pPr>
              <w:rPr>
                <w:rFonts w:ascii="Arial" w:hAnsi="Arial" w:cs="Arial"/>
              </w:rPr>
            </w:pPr>
          </w:p>
        </w:tc>
      </w:tr>
      <w:tr w:rsidR="00DC4ECA" w:rsidRPr="00BF299E" w14:paraId="0D7BE098" w14:textId="77777777" w:rsidTr="00CE22E9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9EC12F" w14:textId="0B4B3C18" w:rsidR="00DC4ECA" w:rsidRPr="00BF299E" w:rsidRDefault="00DC4ECA" w:rsidP="00DC4ECA">
            <w:pPr>
              <w:rPr>
                <w:rFonts w:ascii="Arial" w:hAnsi="Arial" w:cs="Arial"/>
              </w:rPr>
            </w:pPr>
            <w:r w:rsidRPr="00BF299E">
              <w:rPr>
                <w:rFonts w:ascii="Arial" w:hAnsi="Arial" w:cs="Arial"/>
              </w:rPr>
              <w:t xml:space="preserve">Review  </w:t>
            </w:r>
          </w:p>
        </w:tc>
        <w:tc>
          <w:tcPr>
            <w:tcW w:w="2275" w:type="dxa"/>
          </w:tcPr>
          <w:p w14:paraId="604D1B1D" w14:textId="77777777" w:rsidR="00DC4ECA" w:rsidRDefault="00DC4ECA" w:rsidP="00DC4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summarise learning and review the process of solving an equation</w:t>
            </w:r>
          </w:p>
          <w:p w14:paraId="51660A01" w14:textId="77777777" w:rsidR="00DC4ECA" w:rsidDel="0071563C" w:rsidRDefault="00DC4ECA" w:rsidP="00DC4EC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9AB1B6" w14:textId="091622CC" w:rsidR="00DC4ECA" w:rsidRDefault="00DC4ECA" w:rsidP="00DC4ECA">
            <w:pPr>
              <w:jc w:val="center"/>
              <w:rPr>
                <w:rFonts w:ascii="Arial" w:hAnsi="Arial" w:cs="Arial"/>
              </w:rPr>
            </w:pPr>
            <w:r w:rsidRPr="00BF299E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A07BCC" w14:textId="314197DE" w:rsidR="00DC4ECA" w:rsidRDefault="00DC4ECA" w:rsidP="00DC4ECA">
            <w:pPr>
              <w:rPr>
                <w:rFonts w:ascii="Arial" w:hAnsi="Arial" w:cs="Arial"/>
              </w:rPr>
            </w:pPr>
            <w:r w:rsidRPr="004044E6">
              <w:rPr>
                <w:rFonts w:ascii="Arial" w:hAnsi="Arial" w:cs="Arial"/>
              </w:rPr>
              <w:t xml:space="preserve">Summarise the different strategies and representation explored during the lesson, emphasising the balancing/equal sign concept. Reflect on the process steps involved in solving equation.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6BFC7C" w14:textId="59F95F01" w:rsidR="00DC4ECA" w:rsidRPr="003A076B" w:rsidRDefault="00DC4ECA" w:rsidP="00DC4ECA">
            <w:pPr>
              <w:rPr>
                <w:rFonts w:ascii="Arial" w:hAnsi="Arial" w:cs="Arial"/>
              </w:rPr>
            </w:pPr>
            <w:r w:rsidRPr="003A076B">
              <w:rPr>
                <w:rFonts w:ascii="Arial" w:hAnsi="Arial" w:cs="Arial"/>
              </w:rPr>
              <w:t xml:space="preserve">Slide </w:t>
            </w:r>
            <w:r>
              <w:rPr>
                <w:rFonts w:ascii="Arial" w:hAnsi="Arial" w:cs="Arial"/>
              </w:rPr>
              <w:t>36</w:t>
            </w:r>
          </w:p>
          <w:p w14:paraId="0EB9EB13" w14:textId="77777777" w:rsidR="00DC4ECA" w:rsidRPr="003A076B" w:rsidRDefault="00DC4ECA" w:rsidP="00DC4ECA">
            <w:pPr>
              <w:rPr>
                <w:rFonts w:ascii="Arial" w:hAnsi="Arial" w:cs="Arial"/>
              </w:rPr>
            </w:pPr>
          </w:p>
        </w:tc>
      </w:tr>
    </w:tbl>
    <w:p w14:paraId="733F451A" w14:textId="77777777" w:rsidR="00BF299E" w:rsidRDefault="00BF299E" w:rsidP="00E758AE"/>
    <w:sectPr w:rsidR="00BF299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36C9" w14:textId="77777777" w:rsidR="00AB28D3" w:rsidRDefault="00AB28D3" w:rsidP="00E758AE">
      <w:r>
        <w:separator/>
      </w:r>
    </w:p>
  </w:endnote>
  <w:endnote w:type="continuationSeparator" w:id="0">
    <w:p w14:paraId="1B4EEB4A" w14:textId="77777777" w:rsidR="00AB28D3" w:rsidRDefault="00AB28D3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Helvetica Neue"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0F17A8B1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7289CBD3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04B47" w14:textId="77777777" w:rsidR="00AB28D3" w:rsidRDefault="00AB28D3" w:rsidP="00E758AE">
      <w:r>
        <w:separator/>
      </w:r>
    </w:p>
  </w:footnote>
  <w:footnote w:type="continuationSeparator" w:id="0">
    <w:p w14:paraId="55C83E3E" w14:textId="77777777" w:rsidR="00AB28D3" w:rsidRDefault="00AB28D3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32D8C"/>
    <w:multiLevelType w:val="hybridMultilevel"/>
    <w:tmpl w:val="3588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22042"/>
    <w:multiLevelType w:val="hybridMultilevel"/>
    <w:tmpl w:val="5E3A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03131">
    <w:abstractNumId w:val="2"/>
  </w:num>
  <w:num w:numId="2" w16cid:durableId="337735645">
    <w:abstractNumId w:val="2"/>
  </w:num>
  <w:num w:numId="3" w16cid:durableId="1169060989">
    <w:abstractNumId w:val="0"/>
  </w:num>
  <w:num w:numId="4" w16cid:durableId="29603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1DAA"/>
    <w:rsid w:val="00010DA9"/>
    <w:rsid w:val="00062E33"/>
    <w:rsid w:val="000D5272"/>
    <w:rsid w:val="0010702A"/>
    <w:rsid w:val="0014564D"/>
    <w:rsid w:val="00183F17"/>
    <w:rsid w:val="001D2055"/>
    <w:rsid w:val="001E30B1"/>
    <w:rsid w:val="001E736F"/>
    <w:rsid w:val="001F2B71"/>
    <w:rsid w:val="00203A88"/>
    <w:rsid w:val="002311BD"/>
    <w:rsid w:val="002D5756"/>
    <w:rsid w:val="002E2CF7"/>
    <w:rsid w:val="00303932"/>
    <w:rsid w:val="00311775"/>
    <w:rsid w:val="00313C63"/>
    <w:rsid w:val="003652DB"/>
    <w:rsid w:val="003A076B"/>
    <w:rsid w:val="003A3581"/>
    <w:rsid w:val="003C7DE5"/>
    <w:rsid w:val="004044E6"/>
    <w:rsid w:val="00410E09"/>
    <w:rsid w:val="00446848"/>
    <w:rsid w:val="00457BCA"/>
    <w:rsid w:val="00470D7E"/>
    <w:rsid w:val="0048136B"/>
    <w:rsid w:val="004F3669"/>
    <w:rsid w:val="004F379B"/>
    <w:rsid w:val="005538BF"/>
    <w:rsid w:val="0058495E"/>
    <w:rsid w:val="00596A91"/>
    <w:rsid w:val="005B180E"/>
    <w:rsid w:val="005F11E6"/>
    <w:rsid w:val="005F592C"/>
    <w:rsid w:val="006351D6"/>
    <w:rsid w:val="00674A18"/>
    <w:rsid w:val="006B48DD"/>
    <w:rsid w:val="006F557A"/>
    <w:rsid w:val="0071563C"/>
    <w:rsid w:val="00782A69"/>
    <w:rsid w:val="007B178B"/>
    <w:rsid w:val="007D5E4D"/>
    <w:rsid w:val="007E71F9"/>
    <w:rsid w:val="008250EB"/>
    <w:rsid w:val="00825F99"/>
    <w:rsid w:val="00880045"/>
    <w:rsid w:val="00880958"/>
    <w:rsid w:val="008B704D"/>
    <w:rsid w:val="009036D0"/>
    <w:rsid w:val="00917A7F"/>
    <w:rsid w:val="00930B85"/>
    <w:rsid w:val="009414D7"/>
    <w:rsid w:val="00984A73"/>
    <w:rsid w:val="00A064E8"/>
    <w:rsid w:val="00A946D1"/>
    <w:rsid w:val="00AB28D3"/>
    <w:rsid w:val="00AB34EE"/>
    <w:rsid w:val="00AE2DD1"/>
    <w:rsid w:val="00B8565F"/>
    <w:rsid w:val="00BF09FD"/>
    <w:rsid w:val="00BF299E"/>
    <w:rsid w:val="00C06403"/>
    <w:rsid w:val="00C7416F"/>
    <w:rsid w:val="00CE7622"/>
    <w:rsid w:val="00D67EE3"/>
    <w:rsid w:val="00DC0FC6"/>
    <w:rsid w:val="00DC4ECA"/>
    <w:rsid w:val="00DD1473"/>
    <w:rsid w:val="00DD75B5"/>
    <w:rsid w:val="00DF10EF"/>
    <w:rsid w:val="00E758AE"/>
    <w:rsid w:val="00EC0BED"/>
    <w:rsid w:val="00EC71FE"/>
    <w:rsid w:val="00ED63AE"/>
    <w:rsid w:val="00F137DA"/>
    <w:rsid w:val="00F826E2"/>
    <w:rsid w:val="00F85DE5"/>
    <w:rsid w:val="00FB1653"/>
    <w:rsid w:val="00FC1D4B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5756"/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BF299E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5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9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9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9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1877A-C593-4227-96CD-5D8DFA56C686}"/>
</file>

<file path=customXml/itemProps3.xml><?xml version="1.0" encoding="utf-8"?>
<ds:datastoreItem xmlns:ds="http://schemas.openxmlformats.org/officeDocument/2006/customXml" ds:itemID="{7DA6AB41-6B70-4832-ABF1-B68CC02BE4FB}"/>
</file>

<file path=customXml/itemProps4.xml><?xml version="1.0" encoding="utf-8"?>
<ds:datastoreItem xmlns:ds="http://schemas.openxmlformats.org/officeDocument/2006/customXml" ds:itemID="{C5CDB430-A361-404C-887F-FDF6A836D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Arun Aranganathan</cp:lastModifiedBy>
  <cp:revision>15</cp:revision>
  <cp:lastPrinted>2023-03-14T13:15:00Z</cp:lastPrinted>
  <dcterms:created xsi:type="dcterms:W3CDTF">2023-02-08T16:02:00Z</dcterms:created>
  <dcterms:modified xsi:type="dcterms:W3CDTF">2023-03-14T13:15:00Z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</Properties>
</file>