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7355DA" w:rsidR="00C84EAA" w:rsidP="007355DA" w:rsidRDefault="00966F33" w14:paraId="40C59AC2" w14:textId="789790EE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355DA" w:rsidR="00DD541B" w:rsidP="007355DA" w:rsidRDefault="00A761C5" w14:paraId="3A85620D" w14:textId="18044513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rFonts w:cs="Arial"/>
          <w:b/>
          <w:bCs/>
          <w:sz w:val="24"/>
          <w:szCs w:val="24"/>
        </w:rPr>
        <w:t xml:space="preserve">TRIP </w:t>
      </w:r>
      <w:r w:rsidR="007617E0">
        <w:rPr>
          <w:rFonts w:cs="Arial"/>
          <w:b/>
          <w:bCs/>
          <w:sz w:val="24"/>
          <w:szCs w:val="24"/>
        </w:rPr>
        <w:t>4</w:t>
      </w:r>
    </w:p>
    <w:p w:rsidRPr="007355DA" w:rsidR="0078454B" w:rsidP="007355DA" w:rsidRDefault="00EC636C" w14:paraId="1FF95187" w14:textId="3E6ADE4B">
      <w:pPr>
        <w:spacing w:after="160" w:line="259" w:lineRule="auto"/>
        <w:textAlignment w:val="baseline"/>
        <w:rPr>
          <w:rFonts w:eastAsia="Times New Roman" w:cs="Arial"/>
          <w:b w:val="1"/>
          <w:bCs w:val="1"/>
          <w:sz w:val="24"/>
          <w:szCs w:val="24"/>
          <w:lang w:eastAsia="en-GB"/>
        </w:rPr>
      </w:pPr>
      <w:r w:rsidRPr="6637DFDB" w:rsidR="00EC636C">
        <w:rPr>
          <w:rFonts w:cs="Arial"/>
          <w:b w:val="1"/>
          <w:bCs w:val="1"/>
          <w:sz w:val="24"/>
          <w:szCs w:val="24"/>
        </w:rPr>
        <w:t xml:space="preserve">Brief 4: </w:t>
      </w:r>
      <w:r w:rsidRPr="6637DFDB" w:rsidR="00EB6BDB">
        <w:rPr>
          <w:rFonts w:cs="Arial"/>
          <w:b w:val="1"/>
          <w:bCs w:val="1"/>
          <w:sz w:val="24"/>
          <w:szCs w:val="24"/>
        </w:rPr>
        <w:t xml:space="preserve">Materials to support the holistic development of Core Content and Occupational Specialism content for the </w:t>
      </w:r>
      <w:r w:rsidRPr="6637DFDB" w:rsidR="002A0982">
        <w:rPr>
          <w:rFonts w:cs="Arial"/>
          <w:b w:val="1"/>
          <w:bCs w:val="1"/>
          <w:sz w:val="24"/>
          <w:szCs w:val="24"/>
        </w:rPr>
        <w:t xml:space="preserve">T Level </w:t>
      </w:r>
      <w:r w:rsidRPr="6637DFDB" w:rsidR="00CF72A8">
        <w:rPr>
          <w:rFonts w:cs="Arial"/>
          <w:b w:val="1"/>
          <w:bCs w:val="1"/>
          <w:sz w:val="24"/>
          <w:szCs w:val="24"/>
        </w:rPr>
        <w:t xml:space="preserve">in </w:t>
      </w:r>
      <w:r w:rsidRPr="6637DFDB" w:rsidR="00F420CD">
        <w:rPr>
          <w:rFonts w:cs="Arial"/>
          <w:b w:val="1"/>
          <w:bCs w:val="1"/>
          <w:sz w:val="24"/>
          <w:szCs w:val="24"/>
        </w:rPr>
        <w:t>Anima</w:t>
      </w:r>
      <w:r w:rsidRPr="6637DFDB" w:rsidR="7E0FA6D7">
        <w:rPr>
          <w:rFonts w:cs="Arial"/>
          <w:b w:val="1"/>
          <w:bCs w:val="1"/>
          <w:sz w:val="24"/>
          <w:szCs w:val="24"/>
        </w:rPr>
        <w:t>l</w:t>
      </w:r>
      <w:r w:rsidRPr="6637DFDB" w:rsidR="00F420CD">
        <w:rPr>
          <w:rFonts w:cs="Arial"/>
          <w:b w:val="1"/>
          <w:bCs w:val="1"/>
          <w:sz w:val="24"/>
          <w:szCs w:val="24"/>
        </w:rPr>
        <w:t xml:space="preserve"> care and management</w:t>
      </w:r>
    </w:p>
    <w:p w:rsidRPr="007355DA" w:rsidR="0078454B" w:rsidP="007355DA" w:rsidRDefault="00417129" w14:paraId="522C536E" w14:textId="541CAD16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This T Level Resource Improvement Project (TRIP) </w:t>
      </w:r>
      <w:r w:rsidRPr="007355DA" w:rsidR="00910A2E">
        <w:rPr>
          <w:rFonts w:cs="Arial"/>
          <w:sz w:val="24"/>
          <w:szCs w:val="24"/>
        </w:rPr>
        <w:t>has produced</w:t>
      </w:r>
      <w:r w:rsidRPr="007355DA" w:rsidR="00070B6E">
        <w:rPr>
          <w:rFonts w:cs="Arial"/>
          <w:sz w:val="24"/>
          <w:szCs w:val="24"/>
        </w:rPr>
        <w:t xml:space="preserve"> a range of </w:t>
      </w:r>
      <w:r w:rsidRPr="007355DA" w:rsidR="00280B3F">
        <w:rPr>
          <w:rFonts w:cs="Arial"/>
          <w:sz w:val="24"/>
          <w:szCs w:val="24"/>
        </w:rPr>
        <w:t>learning materials</w:t>
      </w:r>
      <w:r w:rsidRPr="007355DA" w:rsidR="00C81F19">
        <w:rPr>
          <w:rFonts w:cs="Arial"/>
          <w:sz w:val="24"/>
          <w:szCs w:val="24"/>
        </w:rPr>
        <w:t xml:space="preserve">, developed by </w:t>
      </w:r>
      <w:r w:rsidRPr="007355DA" w:rsidR="004D0A23">
        <w:rPr>
          <w:rFonts w:cs="Arial"/>
          <w:sz w:val="24"/>
          <w:szCs w:val="24"/>
        </w:rPr>
        <w:t xml:space="preserve">an </w:t>
      </w:r>
      <w:r w:rsidRPr="007355DA" w:rsidR="00C81F19">
        <w:rPr>
          <w:rFonts w:cs="Arial"/>
          <w:sz w:val="24"/>
          <w:szCs w:val="24"/>
        </w:rPr>
        <w:t xml:space="preserve">experienced T Level provider. These </w:t>
      </w:r>
      <w:r w:rsidRPr="007355DA" w:rsidR="0078454B">
        <w:rPr>
          <w:rFonts w:cs="Arial"/>
          <w:sz w:val="24"/>
          <w:szCs w:val="24"/>
        </w:rPr>
        <w:t xml:space="preserve">learning </w:t>
      </w:r>
      <w:r w:rsidRPr="007355DA" w:rsidR="00910A2E">
        <w:rPr>
          <w:rFonts w:cs="Arial"/>
          <w:sz w:val="24"/>
          <w:szCs w:val="24"/>
        </w:rPr>
        <w:t>materials</w:t>
      </w:r>
      <w:r w:rsidRPr="007355DA" w:rsidR="0078454B">
        <w:rPr>
          <w:rFonts w:cs="Arial"/>
          <w:sz w:val="24"/>
          <w:szCs w:val="24"/>
        </w:rPr>
        <w:t xml:space="preserve"> </w:t>
      </w:r>
      <w:r w:rsidRPr="007355DA" w:rsidR="0006798F">
        <w:rPr>
          <w:rFonts w:cs="Arial"/>
          <w:sz w:val="24"/>
          <w:szCs w:val="24"/>
        </w:rPr>
        <w:t xml:space="preserve">will </w:t>
      </w:r>
      <w:r w:rsidRPr="007355DA" w:rsidR="000F69C1">
        <w:rPr>
          <w:rFonts w:cs="Arial"/>
          <w:sz w:val="24"/>
          <w:szCs w:val="24"/>
        </w:rPr>
        <w:t xml:space="preserve">support </w:t>
      </w:r>
      <w:bookmarkStart w:name="_Hlk167858847" w:id="0"/>
      <w:r w:rsidRPr="007355DA" w:rsidR="00BB7590">
        <w:rPr>
          <w:sz w:val="24"/>
          <w:szCs w:val="24"/>
        </w:rPr>
        <w:t xml:space="preserve">the holistic delivery of Core Content of the T Level in </w:t>
      </w:r>
      <w:r w:rsidR="00A60CCF">
        <w:rPr>
          <w:sz w:val="24"/>
          <w:szCs w:val="24"/>
        </w:rPr>
        <w:t>Animal care and management</w:t>
      </w:r>
      <w:r w:rsidRPr="007355DA" w:rsidR="00BB7590">
        <w:rPr>
          <w:sz w:val="24"/>
          <w:szCs w:val="24"/>
        </w:rPr>
        <w:t xml:space="preserve"> with the Occupational Specialism of </w:t>
      </w:r>
      <w:r w:rsidR="00E27B3F">
        <w:rPr>
          <w:sz w:val="24"/>
          <w:szCs w:val="24"/>
        </w:rPr>
        <w:t>Animal management and behaviour</w:t>
      </w:r>
      <w:r w:rsidRPr="007355DA" w:rsidR="00063A09">
        <w:rPr>
          <w:rFonts w:cs="Arial"/>
          <w:sz w:val="24"/>
          <w:szCs w:val="24"/>
        </w:rPr>
        <w:t>.</w:t>
      </w:r>
      <w:bookmarkEnd w:id="0"/>
    </w:p>
    <w:p w:rsidR="00B755CE" w:rsidP="007355DA" w:rsidRDefault="00230BAF" w14:paraId="18CA047D" w14:textId="2E7C7838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Produced by </w:t>
      </w:r>
      <w:r w:rsidRPr="007355DA" w:rsidR="00D41E01">
        <w:rPr>
          <w:rFonts w:cs="Arial"/>
          <w:b/>
          <w:bCs/>
          <w:sz w:val="24"/>
          <w:szCs w:val="24"/>
        </w:rPr>
        <w:t xml:space="preserve">South </w:t>
      </w:r>
      <w:r w:rsidR="00E27B3F">
        <w:rPr>
          <w:rFonts w:cs="Arial"/>
          <w:b/>
          <w:bCs/>
          <w:sz w:val="24"/>
          <w:szCs w:val="24"/>
        </w:rPr>
        <w:t>Staffordshire College</w:t>
      </w:r>
      <w:r w:rsidRPr="007355DA">
        <w:rPr>
          <w:rFonts w:cs="Arial"/>
          <w:sz w:val="24"/>
          <w:szCs w:val="24"/>
        </w:rPr>
        <w:t xml:space="preserve"> th</w:t>
      </w:r>
      <w:r w:rsidRPr="007355DA" w:rsidR="00862D4B">
        <w:rPr>
          <w:rFonts w:cs="Arial"/>
          <w:sz w:val="24"/>
          <w:szCs w:val="24"/>
        </w:rPr>
        <w:t>is TRIP</w:t>
      </w:r>
      <w:r w:rsidRPr="007355DA">
        <w:rPr>
          <w:rFonts w:cs="Arial"/>
          <w:sz w:val="24"/>
          <w:szCs w:val="24"/>
        </w:rPr>
        <w:t xml:space="preserve"> </w:t>
      </w:r>
      <w:r w:rsidRPr="007355DA" w:rsidR="0046498E">
        <w:rPr>
          <w:rFonts w:cs="Arial"/>
          <w:sz w:val="24"/>
          <w:szCs w:val="24"/>
        </w:rPr>
        <w:t xml:space="preserve">provides </w:t>
      </w:r>
      <w:r w:rsidRPr="007355DA" w:rsidR="00DE5478">
        <w:rPr>
          <w:rFonts w:cs="Arial"/>
          <w:sz w:val="24"/>
          <w:szCs w:val="24"/>
        </w:rPr>
        <w:t xml:space="preserve">an accessible </w:t>
      </w:r>
      <w:r w:rsidR="00EC636C">
        <w:rPr>
          <w:rFonts w:cs="Arial"/>
          <w:sz w:val="24"/>
          <w:szCs w:val="24"/>
        </w:rPr>
        <w:t>F</w:t>
      </w:r>
      <w:r w:rsidRPr="007355DA" w:rsidR="00DE5478">
        <w:rPr>
          <w:rFonts w:cs="Arial"/>
          <w:sz w:val="24"/>
          <w:szCs w:val="24"/>
        </w:rPr>
        <w:t xml:space="preserve">ramework for </w:t>
      </w:r>
      <w:r w:rsidR="00EC636C">
        <w:rPr>
          <w:rFonts w:cs="Arial"/>
          <w:sz w:val="24"/>
          <w:szCs w:val="24"/>
        </w:rPr>
        <w:t>L</w:t>
      </w:r>
      <w:r w:rsidRPr="007355DA" w:rsidR="00DE5478">
        <w:rPr>
          <w:rFonts w:cs="Arial"/>
          <w:sz w:val="24"/>
          <w:szCs w:val="24"/>
        </w:rPr>
        <w:t xml:space="preserve">earning, </w:t>
      </w:r>
      <w:r w:rsidRPr="007355DA" w:rsidR="00144FBC">
        <w:rPr>
          <w:rFonts w:cs="Arial"/>
          <w:sz w:val="24"/>
          <w:szCs w:val="24"/>
        </w:rPr>
        <w:t xml:space="preserve">lesson plans and supporting </w:t>
      </w:r>
      <w:r w:rsidRPr="007355DA" w:rsidR="00DE5478">
        <w:rPr>
          <w:rFonts w:cs="Arial"/>
          <w:sz w:val="24"/>
          <w:szCs w:val="24"/>
        </w:rPr>
        <w:t>learning materials</w:t>
      </w:r>
      <w:r w:rsidRPr="007355DA" w:rsidR="00A474EC">
        <w:rPr>
          <w:rFonts w:cs="Arial"/>
          <w:sz w:val="24"/>
          <w:szCs w:val="24"/>
        </w:rPr>
        <w:t xml:space="preserve">.  </w:t>
      </w:r>
      <w:r w:rsidRPr="007355DA" w:rsidR="005F0981">
        <w:rPr>
          <w:rFonts w:cs="Arial"/>
          <w:sz w:val="24"/>
          <w:szCs w:val="24"/>
        </w:rPr>
        <w:t>Together, these</w:t>
      </w:r>
      <w:r w:rsidRPr="007355DA" w:rsidR="0046498E">
        <w:rPr>
          <w:rFonts w:cs="Arial"/>
          <w:sz w:val="24"/>
          <w:szCs w:val="24"/>
        </w:rPr>
        <w:t xml:space="preserve"> will </w:t>
      </w:r>
      <w:r w:rsidRPr="007355DA" w:rsidR="00A0183D">
        <w:rPr>
          <w:rFonts w:cs="Arial"/>
          <w:sz w:val="24"/>
          <w:szCs w:val="24"/>
        </w:rPr>
        <w:t>enable</w:t>
      </w:r>
      <w:r w:rsidRPr="007355DA" w:rsidR="0046498E">
        <w:rPr>
          <w:rFonts w:cs="Arial"/>
          <w:sz w:val="24"/>
          <w:szCs w:val="24"/>
        </w:rPr>
        <w:t xml:space="preserve"> learners to </w:t>
      </w:r>
      <w:r w:rsidRPr="007355DA" w:rsidR="005F0981">
        <w:rPr>
          <w:rFonts w:cs="Arial"/>
          <w:sz w:val="24"/>
          <w:szCs w:val="24"/>
        </w:rPr>
        <w:t xml:space="preserve">develop </w:t>
      </w:r>
      <w:r w:rsidRPr="007355DA" w:rsidR="00D83719">
        <w:rPr>
          <w:rFonts w:cs="Arial"/>
          <w:sz w:val="24"/>
          <w:szCs w:val="24"/>
        </w:rPr>
        <w:t>knowledge and understanding of Core</w:t>
      </w:r>
      <w:r w:rsidRPr="007355DA" w:rsidR="00937975">
        <w:rPr>
          <w:rFonts w:cs="Arial"/>
          <w:sz w:val="24"/>
          <w:szCs w:val="24"/>
        </w:rPr>
        <w:t xml:space="preserve"> Content </w:t>
      </w:r>
      <w:r w:rsidR="00955A03">
        <w:rPr>
          <w:rFonts w:cs="Arial"/>
          <w:sz w:val="24"/>
          <w:szCs w:val="24"/>
        </w:rPr>
        <w:t>through the delivery of Performance Outcome 3 – Apply techniques to influence positive animal behaviour.</w:t>
      </w:r>
      <w:r w:rsidR="00D92F66">
        <w:rPr>
          <w:rFonts w:cs="Arial"/>
          <w:sz w:val="24"/>
          <w:szCs w:val="24"/>
        </w:rPr>
        <w:t xml:space="preserve">  </w:t>
      </w:r>
      <w:r w:rsidR="003C3D86">
        <w:rPr>
          <w:rFonts w:cs="Arial"/>
          <w:sz w:val="24"/>
          <w:szCs w:val="24"/>
        </w:rPr>
        <w:t xml:space="preserve">Whilst developing skills to influence animal behaviour, learners will develop knowledge and understanding of </w:t>
      </w:r>
      <w:r w:rsidR="000913A0">
        <w:rPr>
          <w:rFonts w:cs="Arial"/>
          <w:sz w:val="24"/>
          <w:szCs w:val="24"/>
        </w:rPr>
        <w:t>Core Content relate</w:t>
      </w:r>
      <w:r w:rsidR="005A6537">
        <w:rPr>
          <w:rFonts w:cs="Arial"/>
          <w:sz w:val="24"/>
          <w:szCs w:val="24"/>
        </w:rPr>
        <w:t xml:space="preserve">d to health and safety legislation, reporting of animal care and relationship management.  </w:t>
      </w:r>
    </w:p>
    <w:p w:rsidRPr="006D230C" w:rsidR="006D230C" w:rsidP="007355DA" w:rsidRDefault="006D230C" w14:paraId="11F17805" w14:textId="3C43EF73">
      <w:pPr>
        <w:spacing w:after="160" w:line="259" w:lineRule="auto"/>
        <w:textAlignment w:val="baseline"/>
        <w:rPr>
          <w:rFonts w:cs="Arial"/>
          <w:sz w:val="28"/>
          <w:szCs w:val="28"/>
        </w:rPr>
      </w:pPr>
      <w:r w:rsidRPr="006D230C">
        <w:rPr>
          <w:sz w:val="24"/>
          <w:szCs w:val="24"/>
        </w:rPr>
        <w:t xml:space="preserve">This resource focuses on rabbits, guinea pigs and hamsters. Other animals including chickens, lemurs and rats </w:t>
      </w:r>
      <w:r w:rsidR="00632444">
        <w:rPr>
          <w:sz w:val="24"/>
          <w:szCs w:val="24"/>
        </w:rPr>
        <w:t>are</w:t>
      </w:r>
      <w:r w:rsidRPr="006D230C">
        <w:rPr>
          <w:sz w:val="24"/>
          <w:szCs w:val="24"/>
        </w:rPr>
        <w:t xml:space="preserve"> used as examples to compare animal behaviour, but these animals </w:t>
      </w:r>
      <w:r w:rsidR="00632444">
        <w:rPr>
          <w:sz w:val="24"/>
          <w:szCs w:val="24"/>
        </w:rPr>
        <w:t>are not</w:t>
      </w:r>
      <w:r w:rsidRPr="006D230C">
        <w:rPr>
          <w:sz w:val="24"/>
          <w:szCs w:val="24"/>
        </w:rPr>
        <w:t xml:space="preserve"> the main focus of the resource.  </w:t>
      </w:r>
      <w:r w:rsidR="00632444">
        <w:rPr>
          <w:sz w:val="24"/>
          <w:szCs w:val="24"/>
        </w:rPr>
        <w:t xml:space="preserve">Teachers can adapt the resource content to relate to other small mammals </w:t>
      </w:r>
      <w:r w:rsidR="0063572D">
        <w:rPr>
          <w:sz w:val="24"/>
          <w:szCs w:val="24"/>
        </w:rPr>
        <w:t>that are available to their learners.</w:t>
      </w:r>
    </w:p>
    <w:p w:rsidRPr="007355DA" w:rsidR="0046498E" w:rsidP="007355DA" w:rsidRDefault="00D22A28" w14:paraId="5BE2BB0C" w14:textId="759A8F64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The r</w:t>
      </w:r>
      <w:r w:rsidRPr="007355DA" w:rsidR="00A0183D">
        <w:rPr>
          <w:rFonts w:cs="Arial"/>
          <w:sz w:val="24"/>
          <w:szCs w:val="24"/>
        </w:rPr>
        <w:t>esource include</w:t>
      </w:r>
      <w:r w:rsidR="00AE4033">
        <w:rPr>
          <w:rFonts w:cs="Arial"/>
          <w:sz w:val="24"/>
          <w:szCs w:val="24"/>
        </w:rPr>
        <w:t>s</w:t>
      </w:r>
      <w:r w:rsidRPr="007355DA" w:rsidR="00A0183D">
        <w:rPr>
          <w:rFonts w:cs="Arial"/>
          <w:sz w:val="24"/>
          <w:szCs w:val="24"/>
        </w:rPr>
        <w:t>:</w:t>
      </w:r>
    </w:p>
    <w:p w:rsidRPr="007355DA" w:rsidR="007E4675" w:rsidP="007355DA" w:rsidRDefault="00C25418" w14:paraId="09C7E369" w14:textId="3312D763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a</w:t>
      </w:r>
      <w:r w:rsidRPr="007355DA" w:rsidR="007E4675">
        <w:rPr>
          <w:rFonts w:cs="Arial"/>
          <w:sz w:val="24"/>
          <w:szCs w:val="24"/>
        </w:rPr>
        <w:t xml:space="preserve"> </w:t>
      </w:r>
      <w:r w:rsidR="00EC636C">
        <w:rPr>
          <w:rFonts w:cs="Arial"/>
          <w:sz w:val="24"/>
          <w:szCs w:val="24"/>
        </w:rPr>
        <w:t>F</w:t>
      </w:r>
      <w:r w:rsidRPr="007355DA" w:rsidR="007E4675">
        <w:rPr>
          <w:rFonts w:cs="Arial"/>
          <w:sz w:val="24"/>
          <w:szCs w:val="24"/>
        </w:rPr>
        <w:t xml:space="preserve">ramework for </w:t>
      </w:r>
      <w:r w:rsidR="00EC636C">
        <w:rPr>
          <w:rFonts w:cs="Arial"/>
          <w:sz w:val="24"/>
          <w:szCs w:val="24"/>
        </w:rPr>
        <w:t>L</w:t>
      </w:r>
      <w:r w:rsidRPr="007355DA" w:rsidR="007E4675">
        <w:rPr>
          <w:rFonts w:cs="Arial"/>
          <w:sz w:val="24"/>
          <w:szCs w:val="24"/>
        </w:rPr>
        <w:t xml:space="preserve">earning to show </w:t>
      </w:r>
      <w:r w:rsidRPr="007355DA" w:rsidR="005913E1">
        <w:rPr>
          <w:rFonts w:cs="Arial"/>
          <w:sz w:val="24"/>
          <w:szCs w:val="24"/>
        </w:rPr>
        <w:t xml:space="preserve">the holistic approach to developing knowledge and understanding and how it </w:t>
      </w:r>
      <w:r w:rsidRPr="007355DA" w:rsidR="007E4675">
        <w:rPr>
          <w:rFonts w:cs="Arial"/>
          <w:sz w:val="24"/>
          <w:szCs w:val="24"/>
        </w:rPr>
        <w:t xml:space="preserve">can be scaffolded and sequenced </w:t>
      </w:r>
    </w:p>
    <w:p w:rsidRPr="007355DA" w:rsidR="005A7E8F" w:rsidP="007355DA" w:rsidRDefault="00C25418" w14:paraId="15E45FC2" w14:textId="77777777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</w:t>
      </w:r>
      <w:r w:rsidRPr="007355DA" w:rsidR="000F3FD9">
        <w:rPr>
          <w:rFonts w:cs="Arial"/>
          <w:sz w:val="24"/>
          <w:szCs w:val="24"/>
        </w:rPr>
        <w:t>en l</w:t>
      </w:r>
      <w:r w:rsidRPr="007355DA" w:rsidR="007E4675">
        <w:rPr>
          <w:rFonts w:cs="Arial"/>
          <w:sz w:val="24"/>
          <w:szCs w:val="24"/>
        </w:rPr>
        <w:t xml:space="preserve">esson plans </w:t>
      </w:r>
      <w:r w:rsidRPr="007355DA" w:rsidR="005E035B">
        <w:rPr>
          <w:rFonts w:cs="Arial"/>
          <w:sz w:val="24"/>
          <w:szCs w:val="24"/>
        </w:rPr>
        <w:t>which cover</w:t>
      </w:r>
      <w:r w:rsidRPr="007355DA" w:rsidR="007E4675">
        <w:rPr>
          <w:rFonts w:cs="Arial"/>
          <w:sz w:val="24"/>
          <w:szCs w:val="24"/>
        </w:rPr>
        <w:t xml:space="preserve"> </w:t>
      </w:r>
      <w:r w:rsidRPr="007355DA" w:rsidR="005A7E8F">
        <w:rPr>
          <w:rFonts w:cs="Arial"/>
          <w:sz w:val="24"/>
          <w:szCs w:val="24"/>
        </w:rPr>
        <w:t>2</w:t>
      </w:r>
      <w:r w:rsidRPr="007355DA" w:rsidR="007E4675">
        <w:rPr>
          <w:rFonts w:cs="Arial"/>
          <w:sz w:val="24"/>
          <w:szCs w:val="24"/>
        </w:rPr>
        <w:t xml:space="preserve">0 hours of learning to support the </w:t>
      </w:r>
      <w:r w:rsidRPr="007355DA" w:rsidR="005A7E8F">
        <w:rPr>
          <w:rFonts w:cs="Arial"/>
          <w:sz w:val="24"/>
          <w:szCs w:val="24"/>
        </w:rPr>
        <w:t xml:space="preserve">holistic delivery </w:t>
      </w:r>
    </w:p>
    <w:p w:rsidRPr="007355DA" w:rsidR="00BF74AB" w:rsidP="007355DA" w:rsidRDefault="00C25418" w14:paraId="00D4897A" w14:textId="005B4D66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l</w:t>
      </w:r>
      <w:r w:rsidRPr="007355DA" w:rsidR="007E4675">
        <w:rPr>
          <w:rFonts w:cs="Arial"/>
          <w:sz w:val="24"/>
          <w:szCs w:val="24"/>
        </w:rPr>
        <w:t xml:space="preserve">earning materials </w:t>
      </w:r>
      <w:r w:rsidRPr="007355DA" w:rsidR="00345AB1">
        <w:rPr>
          <w:rFonts w:cs="Arial"/>
          <w:sz w:val="24"/>
          <w:szCs w:val="24"/>
        </w:rPr>
        <w:t>to support each lesson</w:t>
      </w:r>
      <w:r w:rsidRPr="007355DA" w:rsidR="007E4675">
        <w:rPr>
          <w:rFonts w:cs="Arial"/>
          <w:sz w:val="24"/>
          <w:szCs w:val="24"/>
        </w:rPr>
        <w:t xml:space="preserve"> </w:t>
      </w:r>
      <w:r w:rsidRPr="007355DA" w:rsidR="00345AB1">
        <w:rPr>
          <w:rFonts w:cs="Arial"/>
          <w:sz w:val="24"/>
          <w:szCs w:val="24"/>
        </w:rPr>
        <w:t xml:space="preserve">which </w:t>
      </w:r>
      <w:r w:rsidRPr="007355DA" w:rsidR="007E4675">
        <w:rPr>
          <w:rFonts w:cs="Arial"/>
          <w:sz w:val="24"/>
          <w:szCs w:val="24"/>
        </w:rPr>
        <w:t>enable</w:t>
      </w:r>
      <w:r w:rsidRPr="007355DA" w:rsidR="00345AB1">
        <w:rPr>
          <w:rFonts w:cs="Arial"/>
          <w:sz w:val="24"/>
          <w:szCs w:val="24"/>
        </w:rPr>
        <w:t>s</w:t>
      </w:r>
      <w:r w:rsidRPr="007355DA" w:rsidR="007E4675">
        <w:rPr>
          <w:rFonts w:cs="Arial"/>
          <w:sz w:val="24"/>
          <w:szCs w:val="24"/>
        </w:rPr>
        <w:t xml:space="preserve"> the delivery of the </w:t>
      </w:r>
      <w:r w:rsidRPr="007355DA" w:rsidR="005A7E8F">
        <w:rPr>
          <w:rFonts w:cs="Arial"/>
          <w:sz w:val="24"/>
          <w:szCs w:val="24"/>
        </w:rPr>
        <w:t>2</w:t>
      </w:r>
      <w:r w:rsidRPr="007355DA" w:rsidR="007E4675">
        <w:rPr>
          <w:rFonts w:cs="Arial"/>
          <w:sz w:val="24"/>
          <w:szCs w:val="24"/>
        </w:rPr>
        <w:t>0 hours of learning</w:t>
      </w:r>
      <w:r w:rsidRPr="007355DA" w:rsidR="005A7E8F">
        <w:rPr>
          <w:rFonts w:cs="Arial"/>
          <w:sz w:val="24"/>
          <w:szCs w:val="24"/>
        </w:rPr>
        <w:t>.</w:t>
      </w:r>
    </w:p>
    <w:p w:rsidR="00090DC4" w:rsidP="007355DA" w:rsidRDefault="00090DC4" w14:paraId="089ACDBC" w14:textId="230200BE">
      <w:pPr>
        <w:spacing w:after="160" w:line="259" w:lineRule="auto"/>
        <w:rPr>
          <w:rFonts w:cs="Arial"/>
          <w:sz w:val="24"/>
          <w:szCs w:val="24"/>
        </w:rPr>
      </w:pPr>
      <w:r w:rsidRPr="00090DC4">
        <w:rPr>
          <w:rFonts w:cs="Arial"/>
          <w:sz w:val="24"/>
          <w:szCs w:val="24"/>
        </w:rPr>
        <w:t xml:space="preserve">The </w:t>
      </w:r>
      <w:r w:rsidR="00EC636C">
        <w:rPr>
          <w:rFonts w:cs="Arial"/>
          <w:sz w:val="24"/>
          <w:szCs w:val="24"/>
        </w:rPr>
        <w:t>F</w:t>
      </w:r>
      <w:r>
        <w:rPr>
          <w:rFonts w:cs="Arial"/>
          <w:sz w:val="24"/>
          <w:szCs w:val="24"/>
        </w:rPr>
        <w:t xml:space="preserve">ramework for </w:t>
      </w:r>
      <w:r w:rsidR="00EC636C">
        <w:rPr>
          <w:rFonts w:cs="Arial"/>
          <w:sz w:val="24"/>
          <w:szCs w:val="24"/>
        </w:rPr>
        <w:t>L</w:t>
      </w:r>
      <w:r w:rsidRPr="00090DC4">
        <w:rPr>
          <w:rFonts w:cs="Arial"/>
          <w:sz w:val="24"/>
          <w:szCs w:val="24"/>
        </w:rPr>
        <w:t xml:space="preserve">earning is based on four stages of learning which are represented as a food web, illustrating the approach to holistic learning. The </w:t>
      </w:r>
      <w:r w:rsidR="003E0534">
        <w:rPr>
          <w:rFonts w:cs="Arial"/>
          <w:sz w:val="24"/>
          <w:szCs w:val="24"/>
        </w:rPr>
        <w:t xml:space="preserve">10 lessons contribute to an </w:t>
      </w:r>
      <w:r w:rsidRPr="00090DC4">
        <w:rPr>
          <w:rFonts w:cs="Arial"/>
          <w:sz w:val="24"/>
          <w:szCs w:val="24"/>
        </w:rPr>
        <w:t>applied purpose and outcome of this learning is to propose solutions to influence positive animal behaviour.</w:t>
      </w:r>
    </w:p>
    <w:p w:rsidRPr="007355DA" w:rsidR="00A105AD" w:rsidP="007355DA" w:rsidRDefault="002B439B" w14:paraId="527C5F8D" w14:textId="42F5BC2A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The </w:t>
      </w:r>
      <w:r w:rsidR="00EC636C">
        <w:rPr>
          <w:rFonts w:cs="Arial"/>
          <w:sz w:val="24"/>
          <w:szCs w:val="24"/>
        </w:rPr>
        <w:t>F</w:t>
      </w:r>
      <w:r w:rsidRPr="007355DA">
        <w:rPr>
          <w:rFonts w:cs="Arial"/>
          <w:sz w:val="24"/>
          <w:szCs w:val="24"/>
        </w:rPr>
        <w:t xml:space="preserve">ramework for </w:t>
      </w:r>
      <w:r w:rsidR="00EC636C">
        <w:rPr>
          <w:rFonts w:cs="Arial"/>
          <w:sz w:val="24"/>
          <w:szCs w:val="24"/>
        </w:rPr>
        <w:t>L</w:t>
      </w:r>
      <w:r w:rsidRPr="007355DA">
        <w:rPr>
          <w:rFonts w:cs="Arial"/>
          <w:sz w:val="24"/>
          <w:szCs w:val="24"/>
        </w:rPr>
        <w:t>earning and supporting lesson plans provided in this resource</w:t>
      </w:r>
      <w:r w:rsidRPr="007355DA" w:rsidR="0099077A">
        <w:rPr>
          <w:rFonts w:cs="Arial"/>
          <w:sz w:val="24"/>
          <w:szCs w:val="24"/>
        </w:rPr>
        <w:t xml:space="preserve"> relate to:</w:t>
      </w:r>
    </w:p>
    <w:p w:rsidR="00F03C03" w:rsidP="007355DA" w:rsidRDefault="00FC4750" w14:paraId="6AEEF93A" w14:textId="6B4DC4A0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7355DA">
        <w:rPr>
          <w:rFonts w:eastAsia="Arial" w:cs="Arial"/>
          <w:sz w:val="24"/>
          <w:szCs w:val="24"/>
        </w:rPr>
        <w:t xml:space="preserve">the </w:t>
      </w:r>
      <w:r w:rsidR="00E05225">
        <w:rPr>
          <w:rFonts w:eastAsia="Arial" w:cs="Arial"/>
          <w:sz w:val="24"/>
          <w:szCs w:val="24"/>
        </w:rPr>
        <w:t xml:space="preserve">theory of animal behaviour, </w:t>
      </w:r>
      <w:r w:rsidR="00683FE3">
        <w:rPr>
          <w:rFonts w:eastAsia="Arial" w:cs="Arial"/>
          <w:sz w:val="24"/>
          <w:szCs w:val="24"/>
        </w:rPr>
        <w:t>health and safety legislation and reporting of animal care, risk and incident reporting.  Learners apply ethologist theory to</w:t>
      </w:r>
      <w:r w:rsidR="00F03C03">
        <w:rPr>
          <w:rFonts w:eastAsia="Arial" w:cs="Arial"/>
          <w:sz w:val="24"/>
          <w:szCs w:val="24"/>
        </w:rPr>
        <w:t xml:space="preserve"> </w:t>
      </w:r>
      <w:r w:rsidR="00683FE3">
        <w:rPr>
          <w:rFonts w:eastAsia="Arial" w:cs="Arial"/>
          <w:sz w:val="24"/>
          <w:szCs w:val="24"/>
        </w:rPr>
        <w:t>case study animal observations and through case studies, they start to develop analytical skills</w:t>
      </w:r>
    </w:p>
    <w:p w:rsidR="00ED40E1" w:rsidP="007355DA" w:rsidRDefault="00ED40E1" w14:paraId="4D1CF773" w14:textId="0809A951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lastRenderedPageBreak/>
        <w:t>t</w:t>
      </w:r>
      <w:r w:rsidR="00041A26">
        <w:rPr>
          <w:rFonts w:eastAsia="Arial" w:cs="Arial"/>
          <w:sz w:val="24"/>
          <w:szCs w:val="24"/>
        </w:rPr>
        <w:t xml:space="preserve">he development of observation techniques used to identify factors that </w:t>
      </w:r>
      <w:r w:rsidR="00640C33">
        <w:rPr>
          <w:rFonts w:eastAsia="Arial" w:cs="Arial"/>
          <w:sz w:val="24"/>
          <w:szCs w:val="24"/>
        </w:rPr>
        <w:t>affect animal behaviour.  Learners develop an understanding of the relationship between behaviour, health and welfare</w:t>
      </w:r>
      <w:r>
        <w:rPr>
          <w:rFonts w:eastAsia="Arial" w:cs="Arial"/>
          <w:sz w:val="24"/>
          <w:szCs w:val="24"/>
        </w:rPr>
        <w:t xml:space="preserve"> and the roles of stakeholders in that relationship</w:t>
      </w:r>
    </w:p>
    <w:p w:rsidRPr="007355DA" w:rsidR="0099077A" w:rsidP="007355DA" w:rsidRDefault="00FC4750" w14:paraId="45C4D71A" w14:textId="6BBD02AF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7355DA">
        <w:rPr>
          <w:rFonts w:eastAsia="Arial" w:cs="Arial"/>
          <w:sz w:val="24"/>
          <w:szCs w:val="24"/>
        </w:rPr>
        <w:t>work of Behaviourists Thorndike, Watson, Skinner and Pavlo</w:t>
      </w:r>
      <w:r w:rsidRPr="007355DA" w:rsidR="00402D8A">
        <w:rPr>
          <w:rFonts w:eastAsia="Arial" w:cs="Arial"/>
          <w:sz w:val="24"/>
          <w:szCs w:val="24"/>
        </w:rPr>
        <w:t>v, relating their approaches to their practice in Industry Placement settings</w:t>
      </w:r>
    </w:p>
    <w:p w:rsidRPr="007355DA" w:rsidR="00070F04" w:rsidP="007355DA" w:rsidRDefault="004772B6" w14:paraId="188DE423" w14:textId="1B4DCF20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the development of strategies and techniques to implement permanent positive change in animals</w:t>
      </w:r>
    </w:p>
    <w:p w:rsidR="008B5B74" w:rsidP="007355DA" w:rsidRDefault="0035380A" w14:paraId="18C16237" w14:textId="77777777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the development of problem solving and critical analysis skills</w:t>
      </w:r>
      <w:r w:rsidR="000F3A7E">
        <w:rPr>
          <w:rFonts w:eastAsia="Arial" w:cs="Arial"/>
          <w:sz w:val="24"/>
          <w:szCs w:val="24"/>
        </w:rPr>
        <w:t xml:space="preserve"> that can be used to </w:t>
      </w:r>
      <w:r w:rsidR="008B5B74">
        <w:rPr>
          <w:rFonts w:eastAsia="Arial" w:cs="Arial"/>
          <w:sz w:val="24"/>
          <w:szCs w:val="24"/>
        </w:rPr>
        <w:t xml:space="preserve">identify animal welfare concerns and </w:t>
      </w:r>
      <w:r w:rsidR="000F3A7E">
        <w:rPr>
          <w:rFonts w:eastAsia="Arial" w:cs="Arial"/>
          <w:sz w:val="24"/>
          <w:szCs w:val="24"/>
        </w:rPr>
        <w:t xml:space="preserve">propose solutions to influence positive animal </w:t>
      </w:r>
      <w:r w:rsidR="008B5B74">
        <w:rPr>
          <w:rFonts w:eastAsia="Arial" w:cs="Arial"/>
          <w:sz w:val="24"/>
          <w:szCs w:val="24"/>
        </w:rPr>
        <w:t>behaviour.</w:t>
      </w:r>
    </w:p>
    <w:p w:rsidRPr="00070F04" w:rsidR="00070F04" w:rsidP="00070F04" w:rsidRDefault="00070F04" w14:paraId="43B36442" w14:textId="460F029B">
      <w:pPr>
        <w:tabs>
          <w:tab w:val="left" w:pos="9645"/>
        </w:tabs>
        <w:spacing w:after="160" w:line="259" w:lineRule="auto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In order to achieve this learning, learners are expected to apply their knowledge and skills to practical situations.  This may be through their Industry Placement, voluntary work or </w:t>
      </w:r>
      <w:r w:rsidR="0057377F">
        <w:rPr>
          <w:rFonts w:eastAsia="Arial" w:cs="Arial"/>
          <w:sz w:val="24"/>
          <w:szCs w:val="24"/>
        </w:rPr>
        <w:t>supporting their providers animal care provision.  Learners use their practical experience to observe</w:t>
      </w:r>
      <w:r w:rsidR="00EE1D5E">
        <w:rPr>
          <w:rFonts w:eastAsia="Arial" w:cs="Arial"/>
          <w:sz w:val="24"/>
          <w:szCs w:val="24"/>
        </w:rPr>
        <w:t xml:space="preserve"> animals in their environment over a five-week period.  This should be completed outside of the 20 hours of learning that is the focus of the resource</w:t>
      </w:r>
      <w:r w:rsidR="00B5622E">
        <w:rPr>
          <w:rFonts w:eastAsia="Arial" w:cs="Arial"/>
          <w:sz w:val="24"/>
          <w:szCs w:val="24"/>
        </w:rPr>
        <w:t>.</w:t>
      </w:r>
    </w:p>
    <w:p w:rsidRPr="007355DA" w:rsidR="004D51E0" w:rsidP="007355DA" w:rsidRDefault="0011524B" w14:paraId="0B0D53A6" w14:textId="6EA50623">
      <w:pPr>
        <w:spacing w:after="160" w:line="259" w:lineRule="auto"/>
        <w:rPr>
          <w:sz w:val="24"/>
          <w:szCs w:val="24"/>
        </w:rPr>
      </w:pPr>
      <w:r w:rsidRPr="007355DA">
        <w:rPr>
          <w:sz w:val="24"/>
          <w:szCs w:val="24"/>
        </w:rPr>
        <w:t xml:space="preserve">Each lesson has a </w:t>
      </w:r>
      <w:r w:rsidRPr="007355DA" w:rsidR="003E7007">
        <w:rPr>
          <w:sz w:val="24"/>
          <w:szCs w:val="24"/>
        </w:rPr>
        <w:t xml:space="preserve">lesson plan, </w:t>
      </w:r>
      <w:r w:rsidRPr="007355DA" w:rsidR="00436E61">
        <w:rPr>
          <w:sz w:val="24"/>
          <w:szCs w:val="24"/>
        </w:rPr>
        <w:t xml:space="preserve">case studies, </w:t>
      </w:r>
      <w:r w:rsidRPr="007355DA">
        <w:rPr>
          <w:sz w:val="24"/>
          <w:szCs w:val="24"/>
        </w:rPr>
        <w:t>handouts</w:t>
      </w:r>
      <w:r w:rsidRPr="007355DA" w:rsidR="002E4255">
        <w:rPr>
          <w:sz w:val="24"/>
          <w:szCs w:val="24"/>
        </w:rPr>
        <w:t xml:space="preserve"> and worksheets </w:t>
      </w:r>
      <w:r w:rsidRPr="007355DA">
        <w:rPr>
          <w:sz w:val="24"/>
          <w:szCs w:val="24"/>
        </w:rPr>
        <w:t>to support learning</w:t>
      </w:r>
      <w:r w:rsidRPr="007355DA" w:rsidR="00FB46DE">
        <w:rPr>
          <w:sz w:val="24"/>
          <w:szCs w:val="24"/>
        </w:rPr>
        <w:t xml:space="preserve">.  </w:t>
      </w:r>
      <w:r w:rsidR="00DE2FEB">
        <w:rPr>
          <w:sz w:val="24"/>
          <w:szCs w:val="24"/>
        </w:rPr>
        <w:t xml:space="preserve">There are links to video clips of animals in settings that are used to support learning.  </w:t>
      </w:r>
      <w:r w:rsidRPr="007355DA" w:rsidR="00483C23">
        <w:rPr>
          <w:sz w:val="24"/>
          <w:szCs w:val="24"/>
        </w:rPr>
        <w:t>The</w:t>
      </w:r>
      <w:r w:rsidRPr="007355DA" w:rsidR="00FB46DE">
        <w:rPr>
          <w:sz w:val="24"/>
          <w:szCs w:val="24"/>
        </w:rPr>
        <w:t>re is a</w:t>
      </w:r>
      <w:r w:rsidRPr="007355DA" w:rsidR="00483C23">
        <w:rPr>
          <w:sz w:val="24"/>
          <w:szCs w:val="24"/>
        </w:rPr>
        <w:t xml:space="preserve"> separate </w:t>
      </w:r>
      <w:r w:rsidRPr="007355DA" w:rsidR="001F54AB">
        <w:rPr>
          <w:sz w:val="24"/>
          <w:szCs w:val="24"/>
        </w:rPr>
        <w:t xml:space="preserve">slide deck that can be used to support delivery of the </w:t>
      </w:r>
      <w:r w:rsidRPr="007355DA" w:rsidR="00852651">
        <w:rPr>
          <w:sz w:val="24"/>
          <w:szCs w:val="24"/>
        </w:rPr>
        <w:t>ten lessons</w:t>
      </w:r>
      <w:r w:rsidRPr="007355DA">
        <w:rPr>
          <w:sz w:val="24"/>
          <w:szCs w:val="24"/>
        </w:rPr>
        <w:t>.</w:t>
      </w:r>
    </w:p>
    <w:p w:rsidRPr="007355DA" w:rsidR="00FA5ABB" w:rsidP="007355DA" w:rsidRDefault="00FD6B40" w14:paraId="59A0237D" w14:textId="56B75680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7355DA">
        <w:rPr>
          <w:rFonts w:eastAsia="Times New Roman"/>
          <w:sz w:val="24"/>
          <w:szCs w:val="24"/>
          <w:lang w:eastAsia="en-GB"/>
        </w:rPr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Pr="007355DA" w:rsidR="00FD175C" w:rsidTr="00FD175C" w14:paraId="3A01360F" w14:textId="77777777">
        <w:tc>
          <w:tcPr>
            <w:tcW w:w="3681" w:type="dxa"/>
          </w:tcPr>
          <w:p w:rsidRPr="007355DA" w:rsidR="00FD175C" w:rsidP="007355DA" w:rsidRDefault="00A17AE9" w14:paraId="36A073D3" w14:textId="77353F1E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EC636C">
              <w:rPr>
                <w:rFonts w:eastAsia="Times New Roman" w:cs="Arial"/>
                <w:sz w:val="24"/>
                <w:szCs w:val="24"/>
                <w:lang w:eastAsia="en-GB"/>
              </w:rPr>
              <w:t>Fr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amework for </w:t>
            </w:r>
            <w:r w:rsidR="00EC636C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Pr="007355DA" w:rsidR="00C36BE3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Pr="007355DA" w:rsidR="006508AD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:rsidRPr="007355DA" w:rsidR="00FD175C" w:rsidP="007355DA" w:rsidRDefault="009A388F" w14:paraId="44883FB7" w14:textId="0183BAA7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Pr="007355DA" w:rsidR="00A17AE9" w:rsidTr="00FD175C" w14:paraId="3BC92170" w14:textId="77777777">
        <w:tc>
          <w:tcPr>
            <w:tcW w:w="3681" w:type="dxa"/>
          </w:tcPr>
          <w:p w:rsidRPr="007355DA" w:rsidR="00A17AE9" w:rsidP="007355DA" w:rsidRDefault="00A17AE9" w14:paraId="02A1D3F3" w14:textId="40D9E6C1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Pr="007355DA" w:rsidR="00175319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Pr="007355DA" w:rsidR="006508AD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:rsidRPr="007355DA" w:rsidR="00A17AE9" w:rsidP="007355DA" w:rsidRDefault="00175319" w14:paraId="154CBBB1" w14:textId="03F4E9A1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:rsidRPr="007355DA" w:rsidR="00FD175C" w:rsidP="007355DA" w:rsidRDefault="00FD175C" w14:paraId="594F5B1D" w14:textId="77777777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Pr="007355DA" w:rsidR="00FD175C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798" w:rsidP="002B439B" w:rsidRDefault="00484798" w14:paraId="01A2E6E9" w14:textId="77777777">
      <w:r>
        <w:separator/>
      </w:r>
    </w:p>
  </w:endnote>
  <w:endnote w:type="continuationSeparator" w:id="0">
    <w:p w:rsidR="00484798" w:rsidP="002B439B" w:rsidRDefault="00484798" w14:paraId="30E2F1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798" w:rsidP="002B439B" w:rsidRDefault="00484798" w14:paraId="4AB99437" w14:textId="77777777">
      <w:r>
        <w:separator/>
      </w:r>
    </w:p>
  </w:footnote>
  <w:footnote w:type="continuationSeparator" w:id="0">
    <w:p w:rsidR="00484798" w:rsidP="002B439B" w:rsidRDefault="00484798" w14:paraId="2D3BB8D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1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31348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41A26"/>
    <w:rsid w:val="0005625B"/>
    <w:rsid w:val="00062CEB"/>
    <w:rsid w:val="00063A09"/>
    <w:rsid w:val="00063FE5"/>
    <w:rsid w:val="0006798F"/>
    <w:rsid w:val="00070B6E"/>
    <w:rsid w:val="00070F04"/>
    <w:rsid w:val="000719DC"/>
    <w:rsid w:val="00084282"/>
    <w:rsid w:val="00086C73"/>
    <w:rsid w:val="00090DC4"/>
    <w:rsid w:val="000913A0"/>
    <w:rsid w:val="000B7B98"/>
    <w:rsid w:val="000D4387"/>
    <w:rsid w:val="000D4897"/>
    <w:rsid w:val="000E0EEE"/>
    <w:rsid w:val="000E3AC7"/>
    <w:rsid w:val="000F2C70"/>
    <w:rsid w:val="000F3A7E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F"/>
    <w:rsid w:val="00167E9E"/>
    <w:rsid w:val="0017225E"/>
    <w:rsid w:val="00175319"/>
    <w:rsid w:val="00195742"/>
    <w:rsid w:val="001A0652"/>
    <w:rsid w:val="001A499E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54AB"/>
    <w:rsid w:val="001F6E75"/>
    <w:rsid w:val="00202C83"/>
    <w:rsid w:val="00210CCE"/>
    <w:rsid w:val="002168E3"/>
    <w:rsid w:val="00230A76"/>
    <w:rsid w:val="00230BAF"/>
    <w:rsid w:val="002403D7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B267F"/>
    <w:rsid w:val="002B439B"/>
    <w:rsid w:val="002C4E3E"/>
    <w:rsid w:val="002D331D"/>
    <w:rsid w:val="002E1490"/>
    <w:rsid w:val="002E241B"/>
    <w:rsid w:val="002E4255"/>
    <w:rsid w:val="002E64AE"/>
    <w:rsid w:val="002F1D7E"/>
    <w:rsid w:val="003149C5"/>
    <w:rsid w:val="00316334"/>
    <w:rsid w:val="00317329"/>
    <w:rsid w:val="00317434"/>
    <w:rsid w:val="00325F63"/>
    <w:rsid w:val="0032624D"/>
    <w:rsid w:val="003279F7"/>
    <w:rsid w:val="00332B65"/>
    <w:rsid w:val="0034085E"/>
    <w:rsid w:val="00345AB1"/>
    <w:rsid w:val="00347985"/>
    <w:rsid w:val="00350929"/>
    <w:rsid w:val="0035380A"/>
    <w:rsid w:val="00355EA8"/>
    <w:rsid w:val="0035779F"/>
    <w:rsid w:val="00362D34"/>
    <w:rsid w:val="00375DFE"/>
    <w:rsid w:val="003A2562"/>
    <w:rsid w:val="003C0ECE"/>
    <w:rsid w:val="003C3D86"/>
    <w:rsid w:val="003C46C8"/>
    <w:rsid w:val="003C4C84"/>
    <w:rsid w:val="003C4D65"/>
    <w:rsid w:val="003D71BC"/>
    <w:rsid w:val="003E0534"/>
    <w:rsid w:val="003E1658"/>
    <w:rsid w:val="003E1783"/>
    <w:rsid w:val="003E3EED"/>
    <w:rsid w:val="003E6B10"/>
    <w:rsid w:val="003E7007"/>
    <w:rsid w:val="00402651"/>
    <w:rsid w:val="0040273B"/>
    <w:rsid w:val="00402D8A"/>
    <w:rsid w:val="00413F3A"/>
    <w:rsid w:val="00417129"/>
    <w:rsid w:val="00421A77"/>
    <w:rsid w:val="00427953"/>
    <w:rsid w:val="00435249"/>
    <w:rsid w:val="0043530B"/>
    <w:rsid w:val="00436E61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72B6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C1CBF"/>
    <w:rsid w:val="004C5B87"/>
    <w:rsid w:val="004D055D"/>
    <w:rsid w:val="004D0A23"/>
    <w:rsid w:val="004D51E0"/>
    <w:rsid w:val="004D58A1"/>
    <w:rsid w:val="004D5D1C"/>
    <w:rsid w:val="004E6C2D"/>
    <w:rsid w:val="004F5E81"/>
    <w:rsid w:val="00500AD3"/>
    <w:rsid w:val="005243AA"/>
    <w:rsid w:val="005259C7"/>
    <w:rsid w:val="005458AF"/>
    <w:rsid w:val="005706B0"/>
    <w:rsid w:val="0057377F"/>
    <w:rsid w:val="00574CE1"/>
    <w:rsid w:val="005822BA"/>
    <w:rsid w:val="005836CE"/>
    <w:rsid w:val="005913E1"/>
    <w:rsid w:val="00593EE7"/>
    <w:rsid w:val="005968D0"/>
    <w:rsid w:val="00597E44"/>
    <w:rsid w:val="005A6537"/>
    <w:rsid w:val="005A7BB3"/>
    <w:rsid w:val="005A7E8F"/>
    <w:rsid w:val="005C468A"/>
    <w:rsid w:val="005D3834"/>
    <w:rsid w:val="005E035B"/>
    <w:rsid w:val="005E19E2"/>
    <w:rsid w:val="005F0981"/>
    <w:rsid w:val="005F46B7"/>
    <w:rsid w:val="005F68FB"/>
    <w:rsid w:val="0060302C"/>
    <w:rsid w:val="00605EE0"/>
    <w:rsid w:val="0060717E"/>
    <w:rsid w:val="00613045"/>
    <w:rsid w:val="00622D5D"/>
    <w:rsid w:val="00632444"/>
    <w:rsid w:val="00633BB0"/>
    <w:rsid w:val="0063572D"/>
    <w:rsid w:val="00640C33"/>
    <w:rsid w:val="006508AD"/>
    <w:rsid w:val="0065466B"/>
    <w:rsid w:val="00654978"/>
    <w:rsid w:val="00670789"/>
    <w:rsid w:val="0067341F"/>
    <w:rsid w:val="00674340"/>
    <w:rsid w:val="006771F5"/>
    <w:rsid w:val="00683FE3"/>
    <w:rsid w:val="006926E1"/>
    <w:rsid w:val="006A3F5B"/>
    <w:rsid w:val="006B28BE"/>
    <w:rsid w:val="006C6B87"/>
    <w:rsid w:val="006D230C"/>
    <w:rsid w:val="006D2578"/>
    <w:rsid w:val="006D27C0"/>
    <w:rsid w:val="006E2B11"/>
    <w:rsid w:val="006F2D00"/>
    <w:rsid w:val="0070753E"/>
    <w:rsid w:val="0072155F"/>
    <w:rsid w:val="00726B1A"/>
    <w:rsid w:val="007311E7"/>
    <w:rsid w:val="007355DA"/>
    <w:rsid w:val="0073583D"/>
    <w:rsid w:val="00741472"/>
    <w:rsid w:val="00747EB7"/>
    <w:rsid w:val="007617E0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15E93"/>
    <w:rsid w:val="008349FC"/>
    <w:rsid w:val="008477B3"/>
    <w:rsid w:val="008508F6"/>
    <w:rsid w:val="00852651"/>
    <w:rsid w:val="00861426"/>
    <w:rsid w:val="00862D4B"/>
    <w:rsid w:val="00864614"/>
    <w:rsid w:val="00864F57"/>
    <w:rsid w:val="00867D01"/>
    <w:rsid w:val="008934F6"/>
    <w:rsid w:val="008A1FA2"/>
    <w:rsid w:val="008B5B74"/>
    <w:rsid w:val="008B71CC"/>
    <w:rsid w:val="008E79BF"/>
    <w:rsid w:val="008F2792"/>
    <w:rsid w:val="008F439C"/>
    <w:rsid w:val="00901C11"/>
    <w:rsid w:val="00910A2E"/>
    <w:rsid w:val="00914A53"/>
    <w:rsid w:val="009224F6"/>
    <w:rsid w:val="00937975"/>
    <w:rsid w:val="0094092B"/>
    <w:rsid w:val="009509C7"/>
    <w:rsid w:val="00955A03"/>
    <w:rsid w:val="009628B8"/>
    <w:rsid w:val="00966F33"/>
    <w:rsid w:val="00967C75"/>
    <w:rsid w:val="0099077A"/>
    <w:rsid w:val="00991972"/>
    <w:rsid w:val="009936AD"/>
    <w:rsid w:val="00994E1A"/>
    <w:rsid w:val="0099742F"/>
    <w:rsid w:val="009A388F"/>
    <w:rsid w:val="009A7181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474EC"/>
    <w:rsid w:val="00A56B41"/>
    <w:rsid w:val="00A5732A"/>
    <w:rsid w:val="00A60CCF"/>
    <w:rsid w:val="00A613D0"/>
    <w:rsid w:val="00A70411"/>
    <w:rsid w:val="00A72784"/>
    <w:rsid w:val="00A761C5"/>
    <w:rsid w:val="00A86C52"/>
    <w:rsid w:val="00A87D01"/>
    <w:rsid w:val="00A94205"/>
    <w:rsid w:val="00A9572C"/>
    <w:rsid w:val="00AB48F8"/>
    <w:rsid w:val="00AB6B84"/>
    <w:rsid w:val="00AD3CE0"/>
    <w:rsid w:val="00AE4033"/>
    <w:rsid w:val="00AE5230"/>
    <w:rsid w:val="00AE5CE8"/>
    <w:rsid w:val="00AF0EA9"/>
    <w:rsid w:val="00AF3364"/>
    <w:rsid w:val="00AF538E"/>
    <w:rsid w:val="00AF7C13"/>
    <w:rsid w:val="00B20C05"/>
    <w:rsid w:val="00B231BF"/>
    <w:rsid w:val="00B353F1"/>
    <w:rsid w:val="00B4732A"/>
    <w:rsid w:val="00B47A57"/>
    <w:rsid w:val="00B5622E"/>
    <w:rsid w:val="00B63016"/>
    <w:rsid w:val="00B633F8"/>
    <w:rsid w:val="00B65DB7"/>
    <w:rsid w:val="00B714E9"/>
    <w:rsid w:val="00B72AD5"/>
    <w:rsid w:val="00B755CE"/>
    <w:rsid w:val="00B8101B"/>
    <w:rsid w:val="00B834E1"/>
    <w:rsid w:val="00B84519"/>
    <w:rsid w:val="00B87B93"/>
    <w:rsid w:val="00BA19AD"/>
    <w:rsid w:val="00BB11F6"/>
    <w:rsid w:val="00BB25EB"/>
    <w:rsid w:val="00BB7590"/>
    <w:rsid w:val="00BC54A3"/>
    <w:rsid w:val="00BC79B5"/>
    <w:rsid w:val="00BE5E33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6BE3"/>
    <w:rsid w:val="00C46294"/>
    <w:rsid w:val="00C47CD7"/>
    <w:rsid w:val="00C57110"/>
    <w:rsid w:val="00C667A7"/>
    <w:rsid w:val="00C66CD0"/>
    <w:rsid w:val="00C671B5"/>
    <w:rsid w:val="00C72AFE"/>
    <w:rsid w:val="00C73769"/>
    <w:rsid w:val="00C77325"/>
    <w:rsid w:val="00C77857"/>
    <w:rsid w:val="00C81F19"/>
    <w:rsid w:val="00C84EAA"/>
    <w:rsid w:val="00CA7865"/>
    <w:rsid w:val="00CB43C4"/>
    <w:rsid w:val="00CB5FF9"/>
    <w:rsid w:val="00CC07E3"/>
    <w:rsid w:val="00CC0D34"/>
    <w:rsid w:val="00CC492B"/>
    <w:rsid w:val="00CF72A8"/>
    <w:rsid w:val="00D0133B"/>
    <w:rsid w:val="00D01B5D"/>
    <w:rsid w:val="00D225BB"/>
    <w:rsid w:val="00D22A28"/>
    <w:rsid w:val="00D33CF3"/>
    <w:rsid w:val="00D41E01"/>
    <w:rsid w:val="00D53DFA"/>
    <w:rsid w:val="00D5434A"/>
    <w:rsid w:val="00D54E10"/>
    <w:rsid w:val="00D723D3"/>
    <w:rsid w:val="00D76565"/>
    <w:rsid w:val="00D83719"/>
    <w:rsid w:val="00D85015"/>
    <w:rsid w:val="00D92F66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2FEB"/>
    <w:rsid w:val="00DE5478"/>
    <w:rsid w:val="00DF18E6"/>
    <w:rsid w:val="00DF5AF0"/>
    <w:rsid w:val="00DF5BA8"/>
    <w:rsid w:val="00E029DE"/>
    <w:rsid w:val="00E03BE4"/>
    <w:rsid w:val="00E048D0"/>
    <w:rsid w:val="00E05225"/>
    <w:rsid w:val="00E16520"/>
    <w:rsid w:val="00E168FA"/>
    <w:rsid w:val="00E24E7D"/>
    <w:rsid w:val="00E27B3F"/>
    <w:rsid w:val="00E3288A"/>
    <w:rsid w:val="00E40C55"/>
    <w:rsid w:val="00E46584"/>
    <w:rsid w:val="00E522A6"/>
    <w:rsid w:val="00E533FA"/>
    <w:rsid w:val="00E6310F"/>
    <w:rsid w:val="00E73F35"/>
    <w:rsid w:val="00E773AF"/>
    <w:rsid w:val="00E81AB1"/>
    <w:rsid w:val="00E826B6"/>
    <w:rsid w:val="00E854AC"/>
    <w:rsid w:val="00EA05C1"/>
    <w:rsid w:val="00EA5426"/>
    <w:rsid w:val="00EB6BDB"/>
    <w:rsid w:val="00EC636C"/>
    <w:rsid w:val="00EC74D0"/>
    <w:rsid w:val="00ED3056"/>
    <w:rsid w:val="00ED40E1"/>
    <w:rsid w:val="00EE1D5E"/>
    <w:rsid w:val="00EE3C87"/>
    <w:rsid w:val="00EE405B"/>
    <w:rsid w:val="00EE5F7C"/>
    <w:rsid w:val="00F03C03"/>
    <w:rsid w:val="00F05E25"/>
    <w:rsid w:val="00F150B2"/>
    <w:rsid w:val="00F26383"/>
    <w:rsid w:val="00F2786B"/>
    <w:rsid w:val="00F331D0"/>
    <w:rsid w:val="00F370C5"/>
    <w:rsid w:val="00F420CD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F081B"/>
    <w:rsid w:val="00FF1F06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637DFDB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0FA6D7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styleId="normaltextrun" w:customStyle="1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8" ma:contentTypeDescription="Create a new document." ma:contentTypeScope="" ma:versionID="9c23cdaf544925cc4b3d945237200d7c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6b5918f7e683a60c6ec08577a860095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6433D-8B0F-44C4-98F8-26348BE0A12E}"/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Patrick Douglas</cp:lastModifiedBy>
  <cp:revision>39</cp:revision>
  <dcterms:created xsi:type="dcterms:W3CDTF">2025-06-06T14:39:00Z</dcterms:created>
  <dcterms:modified xsi:type="dcterms:W3CDTF">2025-06-16T09:32:51Z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