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6D86A88F" w:rsidR="00E758AE" w:rsidRPr="00BE6BF1" w:rsidRDefault="00DD6CB6" w:rsidP="00E758AE">
      <w:pPr>
        <w:pStyle w:val="Title"/>
        <w:spacing w:after="440"/>
        <w:rPr>
          <w:szCs w:val="72"/>
        </w:rPr>
      </w:pPr>
      <w:r>
        <w:rPr>
          <w:szCs w:val="72"/>
        </w:rPr>
        <w:t>Circles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098874C" w14:textId="77777777" w:rsidR="00DD6CB6" w:rsidRPr="00DD6CB6" w:rsidRDefault="00DD6CB6" w:rsidP="00DD6CB6">
      <w:pPr>
        <w:pStyle w:val="ListParagraph"/>
        <w:numPr>
          <w:ilvl w:val="0"/>
          <w:numId w:val="1"/>
        </w:numPr>
      </w:pPr>
      <w:r w:rsidRPr="00DD6CB6">
        <w:t>Calculate the area and perimeter of circles, semicircles and quadrants (in terms of π or to an appropriate degree of accuracy)</w:t>
      </w:r>
    </w:p>
    <w:p w14:paraId="3BE73C69" w14:textId="0860B9E6" w:rsidR="00DD6CB6" w:rsidRPr="00DD6CB6" w:rsidRDefault="00DD6CB6" w:rsidP="00DD6CB6">
      <w:pPr>
        <w:pStyle w:val="ListParagraph"/>
        <w:numPr>
          <w:ilvl w:val="0"/>
          <w:numId w:val="1"/>
        </w:numPr>
      </w:pPr>
      <w:r w:rsidRPr="00DD6CB6">
        <w:t xml:space="preserve">Explore problems involving the area or perimeter of compound shapes that include circles, semicircles or quadrants </w:t>
      </w:r>
    </w:p>
    <w:p w14:paraId="1B6E0BD9" w14:textId="75737E72" w:rsidR="00E758AE" w:rsidRPr="00DD6CB6" w:rsidRDefault="00DD6CB6" w:rsidP="00DD6CB6">
      <w:pPr>
        <w:pStyle w:val="ListParagraph"/>
        <w:numPr>
          <w:ilvl w:val="0"/>
          <w:numId w:val="1"/>
        </w:numPr>
        <w:rPr>
          <w:lang w:val="en-SG"/>
        </w:rPr>
      </w:pPr>
      <w:r w:rsidRPr="00DD6CB6">
        <w:rPr>
          <w:lang w:val="en-US"/>
        </w:rPr>
        <w:t>Apply knowledge learned to exam-style questions</w:t>
      </w:r>
    </w:p>
    <w:p w14:paraId="67C938E1" w14:textId="1CB8B219" w:rsidR="00E758AE" w:rsidRPr="005E4E4A" w:rsidRDefault="00E758AE" w:rsidP="00E758AE">
      <w:pPr>
        <w:pStyle w:val="Centrelesresourcesheading"/>
      </w:pPr>
      <w:bookmarkStart w:id="2" w:name="_Toc111717008"/>
      <w:r w:rsidRPr="005E4E4A">
        <w:t>2. GCSE curriculum</w:t>
      </w:r>
      <w:bookmarkEnd w:id="2"/>
    </w:p>
    <w:p w14:paraId="2B8E9EA0" w14:textId="77777777" w:rsidR="0098741F" w:rsidRPr="0098741F" w:rsidRDefault="0098741F" w:rsidP="0098741F">
      <w:r w:rsidRPr="0098741F">
        <w:rPr>
          <w:rFonts w:ascii="Arial" w:hAnsi="Arial" w:cs="Arial"/>
          <w:b/>
          <w:iCs/>
        </w:rPr>
        <w:t>Geometry and measures</w:t>
      </w:r>
    </w:p>
    <w:p w14:paraId="19681E3E" w14:textId="77777777" w:rsidR="0098741F" w:rsidRPr="0098741F" w:rsidRDefault="0098741F" w:rsidP="0098741F">
      <w:pPr>
        <w:rPr>
          <w:rFonts w:ascii="Arial" w:hAnsi="Arial" w:cs="Arial"/>
        </w:rPr>
      </w:pPr>
      <w:r w:rsidRPr="0098741F">
        <w:rPr>
          <w:rFonts w:ascii="Arial" w:hAnsi="Arial" w:cs="Arial"/>
          <w:b/>
          <w:bCs/>
        </w:rPr>
        <w:t>G9</w:t>
      </w:r>
      <w:r w:rsidRPr="0098741F">
        <w:rPr>
          <w:rFonts w:ascii="Arial" w:hAnsi="Arial" w:cs="Arial"/>
        </w:rPr>
        <w:t xml:space="preserve"> Identify and apply circle definitions and properties, including centre, radius, chord, diameter, circumference</w:t>
      </w:r>
    </w:p>
    <w:p w14:paraId="4A5CFA41" w14:textId="76E779FD" w:rsidR="0098741F" w:rsidRPr="0098741F" w:rsidRDefault="0098741F" w:rsidP="0098741F">
      <w:pPr>
        <w:rPr>
          <w:rFonts w:ascii="Arial" w:hAnsi="Arial" w:cs="Arial"/>
        </w:rPr>
      </w:pPr>
      <w:r w:rsidRPr="0098741F">
        <w:rPr>
          <w:rFonts w:ascii="Arial" w:hAnsi="Arial" w:cs="Arial"/>
          <w:b/>
          <w:bCs/>
        </w:rPr>
        <w:t>G17</w:t>
      </w:r>
      <w:r w:rsidRPr="0098741F">
        <w:t xml:space="preserve"> </w:t>
      </w:r>
      <w:r w:rsidRPr="0098741F">
        <w:rPr>
          <w:rFonts w:ascii="Arial" w:hAnsi="Arial" w:cs="Arial"/>
        </w:rPr>
        <w:t xml:space="preserve">know the formulae: circumference of a circle = </w:t>
      </w:r>
      <w:r w:rsidRPr="00DD192A">
        <w:rPr>
          <w:rFonts w:ascii="Times New Roman" w:hAnsi="Times New Roman" w:cs="Times New Roman"/>
        </w:rPr>
        <w:t>2π</w:t>
      </w:r>
      <w:r w:rsidRPr="00DD192A">
        <w:rPr>
          <w:rFonts w:ascii="Times New Roman" w:hAnsi="Times New Roman" w:cs="Times New Roman"/>
          <w:i/>
          <w:iCs/>
        </w:rPr>
        <w:t>r</w:t>
      </w:r>
      <w:r w:rsidR="003D608C">
        <w:rPr>
          <w:rFonts w:ascii="Cambria Math" w:hAnsi="Cambria Math" w:cs="Arial"/>
        </w:rPr>
        <w:t xml:space="preserve"> </w:t>
      </w:r>
      <w:r w:rsidRPr="0098741F">
        <w:rPr>
          <w:rFonts w:ascii="Arial" w:hAnsi="Arial" w:cs="Arial"/>
        </w:rPr>
        <w:t>=</w:t>
      </w:r>
      <w:r w:rsidR="003D608C">
        <w:rPr>
          <w:rFonts w:ascii="Arial" w:hAnsi="Arial" w:cs="Arial"/>
        </w:rPr>
        <w:t xml:space="preserve"> </w:t>
      </w:r>
      <w:r w:rsidRPr="00DD192A">
        <w:rPr>
          <w:rFonts w:ascii="Times New Roman" w:hAnsi="Times New Roman" w:cs="Times New Roman"/>
        </w:rPr>
        <w:t>π</w:t>
      </w:r>
      <w:r w:rsidRPr="00DD192A">
        <w:rPr>
          <w:rFonts w:ascii="Times New Roman" w:hAnsi="Times New Roman" w:cs="Times New Roman"/>
          <w:i/>
          <w:iCs/>
        </w:rPr>
        <w:t>d</w:t>
      </w:r>
      <w:r w:rsidRPr="0098741F">
        <w:rPr>
          <w:rFonts w:ascii="Arial" w:hAnsi="Arial" w:cs="Arial"/>
        </w:rPr>
        <w:t xml:space="preserve">, area of a circle = </w:t>
      </w:r>
      <w:r w:rsidRPr="00DD192A">
        <w:rPr>
          <w:rFonts w:ascii="Times New Roman" w:hAnsi="Times New Roman" w:cs="Times New Roman"/>
        </w:rPr>
        <w:t>π</w:t>
      </w:r>
      <w:r w:rsidRPr="00DD192A">
        <w:rPr>
          <w:rFonts w:ascii="Times New Roman" w:hAnsi="Times New Roman" w:cs="Times New Roman"/>
          <w:i/>
          <w:iCs/>
        </w:rPr>
        <w:t>r</w:t>
      </w:r>
      <w:r w:rsidRPr="00DD192A">
        <w:rPr>
          <w:rFonts w:ascii="Times New Roman" w:hAnsi="Times New Roman" w:cs="Times New Roman"/>
          <w:vertAlign w:val="superscript"/>
        </w:rPr>
        <w:t>2</w:t>
      </w:r>
      <w:r>
        <w:rPr>
          <w:rFonts w:ascii="Arial" w:hAnsi="Arial" w:cs="Arial"/>
        </w:rPr>
        <w:t>;</w:t>
      </w:r>
      <w:r w:rsidRPr="0098741F">
        <w:rPr>
          <w:rFonts w:ascii="Arial" w:hAnsi="Arial" w:cs="Arial"/>
        </w:rPr>
        <w:t xml:space="preserve"> calculate</w:t>
      </w:r>
      <w:r w:rsidR="00E828B3">
        <w:rPr>
          <w:rFonts w:ascii="Arial" w:hAnsi="Arial" w:cs="Arial"/>
        </w:rPr>
        <w:t>:</w:t>
      </w:r>
      <w:r w:rsidRPr="0098741F">
        <w:rPr>
          <w:rFonts w:ascii="Arial" w:hAnsi="Arial" w:cs="Arial"/>
        </w:rPr>
        <w:t xml:space="preserve"> perimeters of 2D shapes, including circles</w:t>
      </w:r>
      <w:r>
        <w:rPr>
          <w:rFonts w:ascii="Arial" w:hAnsi="Arial" w:cs="Arial"/>
        </w:rPr>
        <w:t>;</w:t>
      </w:r>
      <w:r w:rsidRPr="0098741F">
        <w:rPr>
          <w:rFonts w:ascii="Arial" w:hAnsi="Arial" w:cs="Arial"/>
        </w:rPr>
        <w:t xml:space="preserve"> areas of circles and composite shapes</w:t>
      </w:r>
      <w:r>
        <w:rPr>
          <w:rFonts w:ascii="Arial" w:hAnsi="Arial" w:cs="Arial"/>
        </w:rPr>
        <w:t>;</w:t>
      </w:r>
      <w:r w:rsidRPr="0098741F">
        <w:t xml:space="preserve"> </w:t>
      </w:r>
      <w:r w:rsidRPr="0098741F">
        <w:rPr>
          <w:rFonts w:ascii="Arial" w:hAnsi="Arial" w:cs="Arial"/>
        </w:rPr>
        <w:t>surface area and volume of spheres, pyramids, cones and</w:t>
      </w:r>
      <w:r>
        <w:rPr>
          <w:rFonts w:ascii="Arial" w:hAnsi="Arial" w:cs="Arial"/>
        </w:rPr>
        <w:t xml:space="preserve"> </w:t>
      </w:r>
      <w:r w:rsidRPr="0098741F">
        <w:rPr>
          <w:rFonts w:ascii="Arial" w:hAnsi="Arial" w:cs="Arial"/>
        </w:rPr>
        <w:t>composite solids</w:t>
      </w:r>
    </w:p>
    <w:p w14:paraId="1A155C05" w14:textId="77777777" w:rsidR="0098741F" w:rsidRPr="0098741F" w:rsidRDefault="0098741F" w:rsidP="0098741F">
      <w:pPr>
        <w:rPr>
          <w:rFonts w:ascii="Arial" w:hAnsi="Arial" w:cs="Arial"/>
        </w:rPr>
      </w:pPr>
    </w:p>
    <w:p w14:paraId="70905E24" w14:textId="6D788C41" w:rsidR="00E758AE" w:rsidRPr="0098741F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01074E57" w:rsidR="00E758AE" w:rsidRPr="003E1B24" w:rsidRDefault="007A40A9" w:rsidP="009F6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="00A317F6" w:rsidRPr="00A317F6">
              <w:rPr>
                <w:rFonts w:ascii="Arial" w:hAnsi="Arial" w:cs="Arial"/>
              </w:rPr>
              <w:t xml:space="preserve">emind </w:t>
            </w:r>
            <w:r w:rsidR="00830ECA">
              <w:rPr>
                <w:rFonts w:ascii="Arial" w:hAnsi="Arial" w:cs="Arial"/>
              </w:rPr>
              <w:t>learner</w:t>
            </w:r>
            <w:r w:rsidR="00A317F6" w:rsidRPr="00A317F6">
              <w:rPr>
                <w:rFonts w:ascii="Arial" w:hAnsi="Arial" w:cs="Arial"/>
              </w:rPr>
              <w:t xml:space="preserve">s how the formula of circumference of a circle is derived </w:t>
            </w:r>
            <w:r>
              <w:rPr>
                <w:rFonts w:ascii="Arial" w:hAnsi="Arial" w:cs="Arial"/>
              </w:rPr>
              <w:t xml:space="preserve">and recall </w:t>
            </w:r>
            <w:r w:rsidR="00A317F6" w:rsidRPr="00A317F6">
              <w:rPr>
                <w:rFonts w:ascii="Arial" w:hAnsi="Arial" w:cs="Arial"/>
              </w:rPr>
              <w:t>some properties of a circle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77777777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4ADE21" w14:textId="1055005B" w:rsidR="00A317F6" w:rsidRPr="007C3F80" w:rsidRDefault="00A317F6" w:rsidP="00A317F6">
            <w:pPr>
              <w:pStyle w:val="Tableheader"/>
              <w:spacing w:after="0"/>
              <w:rPr>
                <w:b w:val="0"/>
                <w:bCs/>
              </w:rPr>
            </w:pPr>
            <w:r w:rsidRPr="007C3F80">
              <w:rPr>
                <w:b w:val="0"/>
                <w:bCs/>
              </w:rPr>
              <w:t xml:space="preserve">Ask </w:t>
            </w:r>
            <w:r w:rsidR="00830ECA">
              <w:rPr>
                <w:b w:val="0"/>
                <w:bCs/>
              </w:rPr>
              <w:t>learner</w:t>
            </w:r>
            <w:r w:rsidRPr="007C3F80">
              <w:rPr>
                <w:b w:val="0"/>
                <w:bCs/>
              </w:rPr>
              <w:t xml:space="preserve">s to find the value of </w:t>
            </w:r>
            <w:r w:rsidRPr="007C3F80">
              <w:rPr>
                <w:rFonts w:ascii="Cambria Math" w:hAnsi="Cambria Math"/>
                <w:b w:val="0"/>
                <w:bCs/>
              </w:rPr>
              <w:t>π</w:t>
            </w:r>
            <w:r w:rsidRPr="007C3F80">
              <w:rPr>
                <w:b w:val="0"/>
                <w:bCs/>
              </w:rPr>
              <w:t xml:space="preserve"> by measuring the circumference and diameter of cylindrical objects of different sizes and rearrange</w:t>
            </w:r>
            <w:r>
              <w:rPr>
                <w:b w:val="0"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π=</m:t>
              </m:r>
              <m:f>
                <m:fPr>
                  <m:ctrlPr>
                    <w:rPr>
                      <w:rFonts w:ascii="Cambria Math" w:hAnsi="Cambria Math"/>
                      <w:b w:val="0"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den>
              </m:f>
            </m:oMath>
            <w:r w:rsidRPr="007C3F80">
              <w:rPr>
                <w:b w:val="0"/>
                <w:bCs/>
              </w:rPr>
              <w:t xml:space="preserve"> </w:t>
            </w:r>
            <w:r w:rsidR="0098110C">
              <w:rPr>
                <w:b w:val="0"/>
                <w:bCs/>
              </w:rPr>
              <w:t xml:space="preserve"> </w:t>
            </w:r>
            <w:r w:rsidRPr="007C3F80">
              <w:rPr>
                <w:b w:val="0"/>
                <w:bCs/>
              </w:rPr>
              <w:t>to find the formula of circumference</w:t>
            </w:r>
            <w:r w:rsidR="007A40A9">
              <w:rPr>
                <w:b w:val="0"/>
                <w:bCs/>
              </w:rPr>
              <w:t>.</w:t>
            </w:r>
          </w:p>
          <w:p w14:paraId="4C8CC9BC" w14:textId="78926E4C" w:rsidR="00E758AE" w:rsidRPr="003E1B24" w:rsidRDefault="00A317F6" w:rsidP="00A317F6">
            <w:pPr>
              <w:rPr>
                <w:rFonts w:ascii="Arial" w:hAnsi="Arial" w:cs="Arial"/>
              </w:rPr>
            </w:pPr>
            <w:r w:rsidRPr="007C3F80">
              <w:rPr>
                <w:rFonts w:ascii="Arial" w:hAnsi="Arial" w:cs="Arial"/>
                <w:bCs/>
              </w:rPr>
              <w:t xml:space="preserve">Ask </w:t>
            </w:r>
            <w:r w:rsidR="00830ECA">
              <w:rPr>
                <w:rFonts w:ascii="Arial" w:hAnsi="Arial" w:cs="Arial"/>
                <w:bCs/>
              </w:rPr>
              <w:t>learner</w:t>
            </w:r>
            <w:r w:rsidRPr="007C3F80">
              <w:rPr>
                <w:rFonts w:ascii="Arial" w:hAnsi="Arial" w:cs="Arial"/>
                <w:bCs/>
              </w:rPr>
              <w:t>s if they agree with statements about properties of a circle and can they justify their answers</w:t>
            </w:r>
            <w:r w:rsidR="0098110C">
              <w:rPr>
                <w:rFonts w:ascii="Arial" w:hAnsi="Arial" w:cs="Arial"/>
                <w:bCs/>
              </w:rPr>
              <w:t>.</w:t>
            </w:r>
            <w:r w:rsidR="00E758AE" w:rsidRPr="003E1B2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DDB89F" w14:textId="27FB55A2" w:rsidR="0098110C" w:rsidRDefault="007A40A9" w:rsidP="000A474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</w:t>
            </w:r>
            <w:r w:rsidR="006A5228">
              <w:rPr>
                <w:rFonts w:ascii="Arial" w:hAnsi="Arial" w:cs="Arial"/>
              </w:rPr>
              <w:t>es</w:t>
            </w:r>
            <w:r w:rsidRPr="007A40A9">
              <w:rPr>
                <w:rFonts w:ascii="Arial" w:hAnsi="Arial" w:cs="Arial"/>
              </w:rPr>
              <w:t xml:space="preserve"> </w:t>
            </w:r>
            <w:r w:rsidR="00CE44E0">
              <w:rPr>
                <w:rFonts w:ascii="Arial" w:hAnsi="Arial" w:cs="Arial"/>
              </w:rPr>
              <w:t>2</w:t>
            </w:r>
            <w:r w:rsidR="006A5228">
              <w:rPr>
                <w:rFonts w:ascii="Arial" w:hAnsi="Arial" w:cs="Arial"/>
              </w:rPr>
              <w:t>–</w:t>
            </w:r>
            <w:r w:rsidRPr="007A40A9">
              <w:rPr>
                <w:rFonts w:ascii="Arial" w:hAnsi="Arial" w:cs="Arial"/>
              </w:rPr>
              <w:t>3</w:t>
            </w:r>
          </w:p>
          <w:p w14:paraId="395E8521" w14:textId="7010DF80" w:rsidR="0098110C" w:rsidRDefault="007A40A9" w:rsidP="000A474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String</w:t>
            </w:r>
          </w:p>
          <w:p w14:paraId="1310E0C7" w14:textId="525B37FF" w:rsidR="00E758AE" w:rsidRPr="003E1B24" w:rsidRDefault="0098110C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A40A9" w:rsidRPr="007A40A9">
              <w:rPr>
                <w:rFonts w:ascii="Arial" w:hAnsi="Arial" w:cs="Arial"/>
              </w:rPr>
              <w:t>ule</w:t>
            </w:r>
            <w:r w:rsidR="00246820">
              <w:rPr>
                <w:rFonts w:ascii="Arial" w:hAnsi="Arial" w:cs="Arial"/>
              </w:rPr>
              <w:t>r</w:t>
            </w:r>
            <w:r w:rsidR="007A40A9" w:rsidRPr="007A40A9">
              <w:rPr>
                <w:rFonts w:ascii="Arial" w:hAnsi="Arial" w:cs="Arial"/>
              </w:rPr>
              <w:t xml:space="preserve"> </w:t>
            </w:r>
            <w:r w:rsidR="00246820">
              <w:rPr>
                <w:rFonts w:ascii="Arial" w:hAnsi="Arial" w:cs="Arial"/>
              </w:rPr>
              <w:t>C</w:t>
            </w:r>
            <w:r w:rsidR="007A40A9" w:rsidRPr="007A40A9">
              <w:rPr>
                <w:rFonts w:ascii="Arial" w:hAnsi="Arial" w:cs="Arial"/>
              </w:rPr>
              <w:t>ylindrical</w:t>
            </w:r>
            <w:r w:rsidR="006A5228">
              <w:rPr>
                <w:rFonts w:ascii="Arial" w:hAnsi="Arial" w:cs="Arial"/>
              </w:rPr>
              <w:t xml:space="preserve"> or </w:t>
            </w:r>
            <w:r w:rsidR="007A40A9" w:rsidRPr="007A40A9">
              <w:rPr>
                <w:rFonts w:ascii="Arial" w:hAnsi="Arial" w:cs="Arial"/>
              </w:rPr>
              <w:t>round objects of different sizes</w:t>
            </w:r>
          </w:p>
        </w:tc>
      </w:tr>
      <w:tr w:rsidR="00E758AE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391B8BF8" w14:textId="72BD035A" w:rsidR="00E758AE" w:rsidRPr="003E1B24" w:rsidRDefault="007A40A9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6A5228">
              <w:rPr>
                <w:rFonts w:ascii="Arial" w:hAnsi="Arial" w:cs="Arial"/>
              </w:rPr>
              <w:t>highlight some</w:t>
            </w:r>
            <w:r>
              <w:rPr>
                <w:rFonts w:ascii="Arial" w:hAnsi="Arial" w:cs="Arial"/>
              </w:rPr>
              <w:t xml:space="preserve"> misconceptions regarding the </w:t>
            </w:r>
            <w:r w:rsidR="006A5228">
              <w:rPr>
                <w:rFonts w:ascii="Arial" w:hAnsi="Arial" w:cs="Arial"/>
              </w:rPr>
              <w:t>properties of circles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77777777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44EAB10E" w:rsidR="00E758AE" w:rsidRPr="003E1B24" w:rsidRDefault="006A5228" w:rsidP="007A4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analyse three statements about circles which are incorrect.</w:t>
            </w:r>
            <w:r w:rsidR="00A317F6" w:rsidRPr="00A317F6">
              <w:rPr>
                <w:rFonts w:ascii="Arial" w:hAnsi="Arial" w:cs="Arial"/>
              </w:rPr>
              <w:t xml:space="preserve"> </w:t>
            </w:r>
            <w:r w:rsidR="000D20EA"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 w:rsidR="000D20EA" w:rsidRPr="00A317F6">
              <w:rPr>
                <w:rFonts w:ascii="Arial" w:hAnsi="Arial" w:cs="Arial"/>
              </w:rPr>
              <w:t xml:space="preserve">s to work in pairs to </w:t>
            </w:r>
            <w:r w:rsidR="000D20EA">
              <w:rPr>
                <w:rFonts w:ascii="Arial" w:hAnsi="Arial" w:cs="Arial"/>
              </w:rPr>
              <w:t>solve problems that require them to work out which circle(s) has the greatest area and which semicircle or quadrant has the greatest circumference.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CABEB6" w14:textId="7A97519B" w:rsidR="00E758AE" w:rsidRDefault="00CB0178" w:rsidP="007A4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4</w:t>
            </w:r>
            <w:r w:rsidR="000D20EA">
              <w:rPr>
                <w:rFonts w:ascii="Arial" w:hAnsi="Arial" w:cs="Arial"/>
              </w:rPr>
              <w:t>–12</w:t>
            </w:r>
          </w:p>
          <w:p w14:paraId="58BFBB5C" w14:textId="7B8EEB60" w:rsidR="000D20EA" w:rsidRDefault="000D20EA" w:rsidP="000D20EA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Mini whiteboards</w:t>
            </w:r>
          </w:p>
          <w:p w14:paraId="34E8C7C6" w14:textId="606C43A7" w:rsidR="00246820" w:rsidRPr="007A40A9" w:rsidRDefault="00246820" w:rsidP="000D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  <w:p w14:paraId="5AC038BC" w14:textId="62AAEEDC" w:rsidR="000D20EA" w:rsidRPr="003E1B24" w:rsidRDefault="000D20EA" w:rsidP="000D20EA">
            <w:pPr>
              <w:rPr>
                <w:rFonts w:ascii="Arial" w:hAnsi="Arial" w:cs="Arial"/>
              </w:rPr>
            </w:pPr>
          </w:p>
        </w:tc>
      </w:tr>
      <w:tr w:rsidR="00E758AE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1A229A40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Explore </w:t>
            </w:r>
            <w:r w:rsidR="000D20EA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6808FF4A" w14:textId="13CAFCAB" w:rsidR="00E758AE" w:rsidRPr="003E1B24" w:rsidRDefault="007A40A9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address misconceptions and show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common mistakes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3C84554E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A317F6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147FB" w14:textId="0CE62613" w:rsidR="00E758AE" w:rsidRPr="003E1B24" w:rsidRDefault="007A40A9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 w:rsidR="00A317F6" w:rsidRPr="00A317F6">
              <w:rPr>
                <w:rFonts w:ascii="Arial" w:hAnsi="Arial" w:cs="Arial"/>
              </w:rPr>
              <w:t xml:space="preserve">s </w:t>
            </w:r>
            <w:r w:rsidR="00CE44E0">
              <w:rPr>
                <w:rFonts w:ascii="Arial" w:hAnsi="Arial" w:cs="Arial"/>
              </w:rPr>
              <w:t xml:space="preserve">to </w:t>
            </w:r>
            <w:r w:rsidR="00A317F6" w:rsidRPr="00A317F6">
              <w:rPr>
                <w:rFonts w:ascii="Arial" w:hAnsi="Arial" w:cs="Arial"/>
              </w:rPr>
              <w:t xml:space="preserve">work in pairs to identify and correct the errors in working made </w:t>
            </w:r>
            <w:r>
              <w:rPr>
                <w:rFonts w:ascii="Arial" w:hAnsi="Arial" w:cs="Arial"/>
              </w:rPr>
              <w:t>when</w:t>
            </w:r>
            <w:r w:rsidR="00A317F6" w:rsidRPr="00A317F6">
              <w:rPr>
                <w:rFonts w:ascii="Arial" w:hAnsi="Arial" w:cs="Arial"/>
              </w:rPr>
              <w:t xml:space="preserve"> calculating </w:t>
            </w:r>
            <w:r>
              <w:rPr>
                <w:rFonts w:ascii="Arial" w:hAnsi="Arial" w:cs="Arial"/>
              </w:rPr>
              <w:t>the area</w:t>
            </w:r>
            <w:r w:rsidR="00A317F6" w:rsidRPr="00A317F6">
              <w:rPr>
                <w:rFonts w:ascii="Arial" w:hAnsi="Arial" w:cs="Arial"/>
              </w:rPr>
              <w:t xml:space="preserve"> and circumference</w:t>
            </w:r>
            <w:r>
              <w:rPr>
                <w:rFonts w:ascii="Arial" w:hAnsi="Arial" w:cs="Arial"/>
              </w:rPr>
              <w:t xml:space="preserve"> of a circle</w:t>
            </w:r>
            <w:r w:rsidR="00A317F6" w:rsidRPr="00A317F6">
              <w:rPr>
                <w:rFonts w:ascii="Arial" w:hAnsi="Arial" w:cs="Arial"/>
              </w:rPr>
              <w:t>. These should be linked to the starter activity.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F80335" w14:textId="6A225316" w:rsidR="00E758AE" w:rsidRDefault="007A40A9" w:rsidP="000A474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Slide</w:t>
            </w:r>
            <w:r w:rsidR="00CB0178"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13–16 </w:t>
            </w:r>
            <w:r w:rsidR="000D20EA">
              <w:rPr>
                <w:rFonts w:ascii="Arial" w:hAnsi="Arial" w:cs="Arial"/>
              </w:rPr>
              <w:t>‘</w:t>
            </w:r>
            <w:r w:rsidRPr="007A40A9">
              <w:rPr>
                <w:rFonts w:ascii="Arial" w:hAnsi="Arial" w:cs="Arial"/>
              </w:rPr>
              <w:t>Spot the mistake</w:t>
            </w:r>
            <w:r w:rsidR="000D20EA">
              <w:rPr>
                <w:rFonts w:ascii="Arial" w:hAnsi="Arial" w:cs="Arial"/>
              </w:rPr>
              <w:t xml:space="preserve">s’ </w:t>
            </w:r>
            <w:r w:rsidRPr="007A40A9">
              <w:rPr>
                <w:rFonts w:ascii="Arial" w:hAnsi="Arial" w:cs="Arial"/>
              </w:rPr>
              <w:t>handout</w:t>
            </w:r>
          </w:p>
          <w:p w14:paraId="4D82EB49" w14:textId="7020889C" w:rsidR="00246820" w:rsidRPr="003E1B24" w:rsidRDefault="00246820" w:rsidP="00526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</w:tc>
      </w:tr>
    </w:tbl>
    <w:p w14:paraId="38C63DA4" w14:textId="28379A77" w:rsidR="00E758AE" w:rsidRDefault="00E758AE" w:rsidP="00E758AE"/>
    <w:p w14:paraId="782D918E" w14:textId="0735FBFC" w:rsidR="00E758AE" w:rsidRDefault="00E758AE" w:rsidP="00E758AE"/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2D1197" w:rsidRPr="009D7339" w14:paraId="7D0E593C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69F3D7" w14:textId="44CFD7BC" w:rsidR="002D1197" w:rsidRPr="003E1B24" w:rsidRDefault="002D1197" w:rsidP="002D1197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</w:tcPr>
          <w:p w14:paraId="12BC405F" w14:textId="10800D47" w:rsidR="002D1197" w:rsidRDefault="002D1197" w:rsidP="002D1197">
            <w:pPr>
              <w:rPr>
                <w:rFonts w:ascii="Arial" w:hAnsi="Arial" w:cs="Arial"/>
              </w:rPr>
            </w:pPr>
            <w:r w:rsidRPr="00A317F6">
              <w:rPr>
                <w:rFonts w:ascii="Arial" w:hAnsi="Arial" w:cs="Arial"/>
              </w:rPr>
              <w:t>To address</w:t>
            </w:r>
            <w:r w:rsidR="00FA50E7">
              <w:rPr>
                <w:rFonts w:ascii="Arial" w:hAnsi="Arial" w:cs="Arial"/>
              </w:rPr>
              <w:t xml:space="preserve"> </w:t>
            </w:r>
            <w:r w:rsidRPr="00A317F6">
              <w:rPr>
                <w:rFonts w:ascii="Arial" w:hAnsi="Arial" w:cs="Arial"/>
              </w:rPr>
              <w:t>misconceptions</w:t>
            </w:r>
            <w:r>
              <w:rPr>
                <w:rFonts w:ascii="Arial" w:hAnsi="Arial" w:cs="Arial"/>
              </w:rPr>
              <w:t xml:space="preserve"> regarding </w:t>
            </w:r>
            <w:r w:rsidR="00FA50E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area or perimeter of compound shapes with circles, semicircles or quadrants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FE3801" w14:textId="728E6476" w:rsidR="002D1197" w:rsidRPr="003E1B24" w:rsidRDefault="002D1197" w:rsidP="002D1197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B760BE" w14:textId="6F0CC274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solve a problem regarding the area and perimeter of a field with a racetrack.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62B739" w14:textId="77777777" w:rsidR="002D1197" w:rsidRDefault="002D1197" w:rsidP="002D1197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Slides 17</w:t>
            </w:r>
            <w:r>
              <w:rPr>
                <w:rFonts w:ascii="Arial" w:hAnsi="Arial" w:cs="Arial"/>
              </w:rPr>
              <w:t>–</w:t>
            </w:r>
            <w:r w:rsidRPr="007A40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  <w:p w14:paraId="70C1190B" w14:textId="77777777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A40A9">
              <w:rPr>
                <w:rFonts w:ascii="Arial" w:hAnsi="Arial" w:cs="Arial"/>
              </w:rPr>
              <w:t>aper plate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cissors, </w:t>
            </w:r>
            <w:r>
              <w:rPr>
                <w:rFonts w:ascii="Arial" w:hAnsi="Arial" w:cs="Arial"/>
              </w:rPr>
              <w:t>Re</w:t>
            </w:r>
            <w:r w:rsidRPr="007A40A9">
              <w:rPr>
                <w:rFonts w:ascii="Arial" w:hAnsi="Arial" w:cs="Arial"/>
              </w:rPr>
              <w:t>ctangular cardboard</w:t>
            </w:r>
          </w:p>
          <w:p w14:paraId="3AEAA6E5" w14:textId="77777777" w:rsidR="002D1197" w:rsidRPr="007A40A9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  <w:p w14:paraId="470745D2" w14:textId="77777777" w:rsidR="002D1197" w:rsidRPr="007A40A9" w:rsidRDefault="002D1197" w:rsidP="002D1197">
            <w:pPr>
              <w:rPr>
                <w:rFonts w:ascii="Arial" w:hAnsi="Arial" w:cs="Arial"/>
              </w:rPr>
            </w:pPr>
          </w:p>
        </w:tc>
      </w:tr>
      <w:tr w:rsidR="002D1197" w:rsidRPr="009D7339" w14:paraId="79632455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8F240" w14:textId="73D52DBE" w:rsidR="002D1197" w:rsidRPr="009D7339" w:rsidDel="00A317F6" w:rsidRDefault="002D1197" w:rsidP="002D1197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32923447" w14:textId="1B8A15E4" w:rsidR="002D1197" w:rsidRPr="00A317F6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</w:t>
            </w:r>
            <w:r w:rsidRPr="00A317F6">
              <w:rPr>
                <w:rFonts w:ascii="Arial" w:hAnsi="Arial" w:cs="Arial"/>
              </w:rPr>
              <w:t xml:space="preserve">dentify </w:t>
            </w:r>
            <w:r>
              <w:rPr>
                <w:rFonts w:ascii="Arial" w:hAnsi="Arial" w:cs="Arial"/>
              </w:rPr>
              <w:t>smaller</w:t>
            </w:r>
            <w:r w:rsidRPr="00A317F6">
              <w:rPr>
                <w:rFonts w:ascii="Arial" w:hAnsi="Arial" w:cs="Arial"/>
              </w:rPr>
              <w:t xml:space="preserve"> shapes </w:t>
            </w:r>
            <w:r>
              <w:rPr>
                <w:rFonts w:ascii="Arial" w:hAnsi="Arial" w:cs="Arial"/>
              </w:rPr>
              <w:t>that make up a</w:t>
            </w:r>
            <w:r w:rsidRPr="00A317F6">
              <w:rPr>
                <w:rFonts w:ascii="Arial" w:hAnsi="Arial" w:cs="Arial"/>
              </w:rPr>
              <w:t xml:space="preserve"> compound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 w:rsidRPr="00A317F6">
              <w:rPr>
                <w:rFonts w:ascii="Arial" w:hAnsi="Arial" w:cs="Arial"/>
              </w:rPr>
              <w:t>shape</w:t>
            </w:r>
            <w:r>
              <w:rPr>
                <w:rFonts w:ascii="Arial" w:hAnsi="Arial" w:cs="Arial"/>
              </w:rPr>
              <w:t xml:space="preserve"> so that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can calculate the area of the compound shapes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EC5605" w14:textId="1B768F0B" w:rsidR="002D1197" w:rsidRPr="009D7339" w:rsidRDefault="00DD192A" w:rsidP="002D1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E1B24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CC991" w14:textId="310C5552" w:rsidR="002D1197" w:rsidRPr="00EC11ED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with paper plates or cardboard to help them visualise if necessary.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80E96E" w14:textId="547C2523" w:rsidR="002D1197" w:rsidRDefault="002D1197" w:rsidP="002D1197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23–26</w:t>
            </w:r>
            <w:r w:rsidRPr="007A40A9">
              <w:rPr>
                <w:rFonts w:ascii="Arial" w:hAnsi="Arial" w:cs="Arial"/>
              </w:rPr>
              <w:t xml:space="preserve">  </w:t>
            </w:r>
          </w:p>
          <w:p w14:paraId="4787D915" w14:textId="77777777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7A40A9">
              <w:rPr>
                <w:rFonts w:ascii="Arial" w:hAnsi="Arial" w:cs="Arial"/>
              </w:rPr>
              <w:t>Area of compound shap</w:t>
            </w:r>
            <w:r>
              <w:rPr>
                <w:rFonts w:ascii="Arial" w:hAnsi="Arial" w:cs="Arial"/>
              </w:rPr>
              <w:t>es’</w:t>
            </w:r>
            <w:r w:rsidRPr="007A40A9">
              <w:rPr>
                <w:rFonts w:ascii="Arial" w:hAnsi="Arial" w:cs="Arial"/>
              </w:rPr>
              <w:t xml:space="preserve"> handout</w:t>
            </w:r>
          </w:p>
          <w:p w14:paraId="5FB1EA49" w14:textId="77777777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A40A9">
              <w:rPr>
                <w:rFonts w:ascii="Arial" w:hAnsi="Arial" w:cs="Arial"/>
              </w:rPr>
              <w:t>aper plate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>cissor</w:t>
            </w:r>
            <w:r>
              <w:rPr>
                <w:rFonts w:ascii="Arial" w:hAnsi="Arial" w:cs="Arial"/>
              </w:rPr>
              <w:t>s</w:t>
            </w:r>
          </w:p>
          <w:p w14:paraId="2BEEAE09" w14:textId="5D59F8FD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Pr="007A40A9">
              <w:rPr>
                <w:rFonts w:ascii="Arial" w:hAnsi="Arial" w:cs="Arial"/>
              </w:rPr>
              <w:t>ctangular cardboard</w:t>
            </w:r>
          </w:p>
          <w:p w14:paraId="25BDB205" w14:textId="51B52EF9" w:rsidR="002D1197" w:rsidRPr="007A40A9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</w:tc>
      </w:tr>
      <w:tr w:rsidR="00E758AE" w:rsidRPr="009D7339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72C1AB02" w:rsidR="00E758AE" w:rsidRPr="009D7339" w:rsidRDefault="00A317F6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4E39A992" w14:textId="2E5A49DA" w:rsidR="00E758AE" w:rsidRPr="009D7339" w:rsidRDefault="00A317F6" w:rsidP="00EC11ED">
            <w:pPr>
              <w:rPr>
                <w:rFonts w:ascii="Arial" w:hAnsi="Arial" w:cs="Arial"/>
              </w:rPr>
            </w:pPr>
            <w:r w:rsidRPr="00A317F6">
              <w:rPr>
                <w:rFonts w:ascii="Arial" w:hAnsi="Arial" w:cs="Arial"/>
              </w:rPr>
              <w:t xml:space="preserve">To </w:t>
            </w:r>
            <w:r w:rsidR="00EC11ED">
              <w:rPr>
                <w:rFonts w:ascii="Arial" w:hAnsi="Arial" w:cs="Arial"/>
              </w:rPr>
              <w:t>practi</w:t>
            </w:r>
            <w:r w:rsidR="0098110C">
              <w:rPr>
                <w:rFonts w:ascii="Arial" w:hAnsi="Arial" w:cs="Arial"/>
              </w:rPr>
              <w:t>s</w:t>
            </w:r>
            <w:r w:rsidR="00EC11ED">
              <w:rPr>
                <w:rFonts w:ascii="Arial" w:hAnsi="Arial" w:cs="Arial"/>
              </w:rPr>
              <w:t xml:space="preserve">e applying concepts </w:t>
            </w:r>
            <w:r w:rsidR="00FA50E7">
              <w:rPr>
                <w:rFonts w:ascii="Arial" w:hAnsi="Arial" w:cs="Arial"/>
              </w:rPr>
              <w:t>learned</w:t>
            </w:r>
            <w:r w:rsidR="00EC11ED">
              <w:rPr>
                <w:rFonts w:ascii="Arial" w:hAnsi="Arial" w:cs="Arial"/>
              </w:rPr>
              <w:t xml:space="preserve"> to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0ACA6231" w:rsidR="00E758AE" w:rsidRPr="009D7339" w:rsidRDefault="00E758AE" w:rsidP="000A4749">
            <w:pPr>
              <w:jc w:val="center"/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1</w:t>
            </w:r>
            <w:r w:rsidR="00A317F6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33BAC4" w14:textId="6D451AD3" w:rsidR="00E758AE" w:rsidRPr="009D7339" w:rsidRDefault="00EC11ED" w:rsidP="00A317F6">
            <w:pPr>
              <w:rPr>
                <w:rFonts w:ascii="Arial" w:hAnsi="Arial" w:cs="Arial"/>
              </w:rPr>
            </w:pPr>
            <w:r w:rsidRPr="00EC11ED"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 w:rsidRPr="00EC11ED">
              <w:rPr>
                <w:rFonts w:ascii="Arial" w:hAnsi="Arial" w:cs="Arial"/>
              </w:rPr>
              <w:t xml:space="preserve">s to answer </w:t>
            </w:r>
            <w:r>
              <w:rPr>
                <w:rFonts w:ascii="Arial" w:hAnsi="Arial" w:cs="Arial"/>
              </w:rPr>
              <w:t>two</w:t>
            </w:r>
            <w:r w:rsidRPr="00EC11ED">
              <w:rPr>
                <w:rFonts w:ascii="Arial" w:hAnsi="Arial" w:cs="Arial"/>
              </w:rPr>
              <w:t xml:space="preserve"> exam question</w:t>
            </w:r>
            <w:r>
              <w:rPr>
                <w:rFonts w:ascii="Arial" w:hAnsi="Arial" w:cs="Arial"/>
              </w:rPr>
              <w:t>s</w:t>
            </w:r>
            <w:r w:rsidRPr="00EC11ED">
              <w:rPr>
                <w:rFonts w:ascii="Arial" w:hAnsi="Arial" w:cs="Arial"/>
              </w:rPr>
              <w:t xml:space="preserve"> and after a few minutes discuss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A04E51" w14:textId="726306DD" w:rsidR="007A40A9" w:rsidRPr="007A40A9" w:rsidRDefault="007A40A9" w:rsidP="007A40A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 xml:space="preserve">Slides </w:t>
            </w:r>
            <w:r w:rsidR="00246820">
              <w:rPr>
                <w:rFonts w:ascii="Arial" w:hAnsi="Arial" w:cs="Arial"/>
              </w:rPr>
              <w:t>27–30</w:t>
            </w:r>
          </w:p>
          <w:p w14:paraId="5548DC7D" w14:textId="0E7E65BF" w:rsidR="00E758AE" w:rsidRPr="009D7339" w:rsidRDefault="00246820" w:rsidP="0024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'Practice questions’ handout</w:t>
            </w:r>
          </w:p>
        </w:tc>
      </w:tr>
      <w:tr w:rsidR="00E758AE" w:rsidRPr="009D7339" w14:paraId="3FEA597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8B1B2" w14:textId="77777777" w:rsidR="00E758AE" w:rsidRPr="009D7339" w:rsidRDefault="00E758AE" w:rsidP="000A4749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44D5A413" w14:textId="74DE75BB" w:rsidR="00E758AE" w:rsidRPr="009D7339" w:rsidRDefault="00A317F6" w:rsidP="000A4749">
            <w:pPr>
              <w:rPr>
                <w:rFonts w:ascii="Arial" w:hAnsi="Arial" w:cs="Arial"/>
              </w:rPr>
            </w:pPr>
            <w:r w:rsidRPr="00A317F6">
              <w:rPr>
                <w:rFonts w:ascii="Arial" w:hAnsi="Arial" w:cs="Arial"/>
              </w:rPr>
              <w:t>To review lesson objectives and recap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3F66" w14:textId="22120B35" w:rsidR="00E758AE" w:rsidRPr="009D7339" w:rsidRDefault="00A317F6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01055E" w14:textId="4CAB47AE" w:rsidR="00A317F6" w:rsidRPr="009D7339" w:rsidRDefault="008E0271" w:rsidP="00EC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C11ED">
              <w:rPr>
                <w:rFonts w:ascii="Arial" w:hAnsi="Arial" w:cs="Arial"/>
              </w:rPr>
              <w:t>eview the lesson objectives</w:t>
            </w:r>
            <w:r>
              <w:rPr>
                <w:rFonts w:ascii="Arial" w:hAnsi="Arial" w:cs="Arial"/>
              </w:rPr>
              <w:t xml:space="preserve">, </w:t>
            </w:r>
            <w:r w:rsidR="00EC11ED">
              <w:rPr>
                <w:rFonts w:ascii="Arial" w:hAnsi="Arial" w:cs="Arial"/>
              </w:rPr>
              <w:t>s</w:t>
            </w:r>
            <w:r w:rsidR="00E758AE" w:rsidRPr="009D7339">
              <w:rPr>
                <w:rFonts w:ascii="Arial" w:hAnsi="Arial" w:cs="Arial"/>
              </w:rPr>
              <w:t xml:space="preserve">ummarise the </w:t>
            </w:r>
            <w:r w:rsidR="00EC11ED">
              <w:rPr>
                <w:rFonts w:ascii="Arial" w:hAnsi="Arial" w:cs="Arial"/>
              </w:rPr>
              <w:t>key ideas from the lesson</w:t>
            </w:r>
            <w:r>
              <w:rPr>
                <w:rFonts w:ascii="Arial" w:hAnsi="Arial" w:cs="Arial"/>
              </w:rPr>
              <w:t xml:space="preserve"> and encourage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give feedback.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7D4C4" w14:textId="61E9AAC9" w:rsidR="00E758AE" w:rsidRPr="009D7339" w:rsidRDefault="00E758AE" w:rsidP="000A4749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Slide </w:t>
            </w:r>
            <w:r w:rsidR="00246820">
              <w:rPr>
                <w:rFonts w:ascii="Arial" w:hAnsi="Arial" w:cs="Arial"/>
              </w:rPr>
              <w:t>31</w:t>
            </w:r>
          </w:p>
        </w:tc>
      </w:tr>
    </w:tbl>
    <w:p w14:paraId="3D10AEB7" w14:textId="77777777" w:rsidR="00E758AE" w:rsidRDefault="00E758AE" w:rsidP="00FA50E7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B704" w14:textId="77777777" w:rsidR="00154DF0" w:rsidRDefault="00154DF0" w:rsidP="00E758AE">
      <w:r>
        <w:separator/>
      </w:r>
    </w:p>
  </w:endnote>
  <w:endnote w:type="continuationSeparator" w:id="0">
    <w:p w14:paraId="686F6F22" w14:textId="77777777" w:rsidR="00154DF0" w:rsidRDefault="00154DF0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7DDC24C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1F344B3D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4850" w14:textId="77777777" w:rsidR="00154DF0" w:rsidRDefault="00154DF0" w:rsidP="00E758AE">
      <w:r>
        <w:separator/>
      </w:r>
    </w:p>
  </w:footnote>
  <w:footnote w:type="continuationSeparator" w:id="0">
    <w:p w14:paraId="199A1A1E" w14:textId="77777777" w:rsidR="00154DF0" w:rsidRDefault="00154DF0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06B"/>
    <w:multiLevelType w:val="hybridMultilevel"/>
    <w:tmpl w:val="B67432E0"/>
    <w:lvl w:ilvl="0" w:tplc="0BE47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E0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8B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48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F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A1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CA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45808">
    <w:abstractNumId w:val="1"/>
  </w:num>
  <w:num w:numId="2" w16cid:durableId="190599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B0157"/>
    <w:rsid w:val="000B35FF"/>
    <w:rsid w:val="000D20EA"/>
    <w:rsid w:val="0010702A"/>
    <w:rsid w:val="0012141D"/>
    <w:rsid w:val="00154DF0"/>
    <w:rsid w:val="00246820"/>
    <w:rsid w:val="00246D1E"/>
    <w:rsid w:val="00270D04"/>
    <w:rsid w:val="002D1197"/>
    <w:rsid w:val="002F426F"/>
    <w:rsid w:val="00303312"/>
    <w:rsid w:val="003A3581"/>
    <w:rsid w:val="003D608C"/>
    <w:rsid w:val="00410E09"/>
    <w:rsid w:val="004C612E"/>
    <w:rsid w:val="00526E4F"/>
    <w:rsid w:val="006502AD"/>
    <w:rsid w:val="006757C7"/>
    <w:rsid w:val="006A5228"/>
    <w:rsid w:val="00721897"/>
    <w:rsid w:val="007A40A9"/>
    <w:rsid w:val="007C3F80"/>
    <w:rsid w:val="00830ECA"/>
    <w:rsid w:val="00880958"/>
    <w:rsid w:val="008B704D"/>
    <w:rsid w:val="008E0271"/>
    <w:rsid w:val="00903D9F"/>
    <w:rsid w:val="00917A7F"/>
    <w:rsid w:val="00930B85"/>
    <w:rsid w:val="0098110C"/>
    <w:rsid w:val="0098741F"/>
    <w:rsid w:val="009F639E"/>
    <w:rsid w:val="00A064E8"/>
    <w:rsid w:val="00A317F6"/>
    <w:rsid w:val="00A6337E"/>
    <w:rsid w:val="00CB0178"/>
    <w:rsid w:val="00CE44E0"/>
    <w:rsid w:val="00D35BC7"/>
    <w:rsid w:val="00DB5ADD"/>
    <w:rsid w:val="00DD192A"/>
    <w:rsid w:val="00DD6CB6"/>
    <w:rsid w:val="00DF10EF"/>
    <w:rsid w:val="00E14F76"/>
    <w:rsid w:val="00E44D38"/>
    <w:rsid w:val="00E758AE"/>
    <w:rsid w:val="00E828B3"/>
    <w:rsid w:val="00EC11ED"/>
    <w:rsid w:val="00F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98741F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17F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C1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7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FCC1FA-538A-4C4D-BE86-1CBAC66512CA}"/>
</file>

<file path=customXml/itemProps3.xml><?xml version="1.0" encoding="utf-8"?>
<ds:datastoreItem xmlns:ds="http://schemas.openxmlformats.org/officeDocument/2006/customXml" ds:itemID="{C58E9773-7E1E-4AAC-9F7F-31D9D2C4D05F}"/>
</file>

<file path=customXml/itemProps4.xml><?xml version="1.0" encoding="utf-8"?>
<ds:datastoreItem xmlns:ds="http://schemas.openxmlformats.org/officeDocument/2006/customXml" ds:itemID="{58BE80EF-9D5F-4DAD-9464-61FF940C7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Arun Aranganathan</cp:lastModifiedBy>
  <cp:revision>20</cp:revision>
  <cp:lastPrinted>2023-03-14T13:39:00Z</cp:lastPrinted>
  <dcterms:created xsi:type="dcterms:W3CDTF">2023-02-08T19:12:00Z</dcterms:created>
  <dcterms:modified xsi:type="dcterms:W3CDTF">2023-03-14T13:40:00Z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