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7379" w14:textId="55D23894" w:rsidR="00154BCF" w:rsidRDefault="79873E75" w:rsidP="70915E7B">
      <w:pPr>
        <w:rPr>
          <w:b/>
          <w:bCs/>
          <w:sz w:val="36"/>
          <w:szCs w:val="36"/>
        </w:rPr>
      </w:pPr>
      <w:r>
        <w:rPr>
          <w:noProof/>
        </w:rPr>
        <w:drawing>
          <wp:inline distT="0" distB="0" distL="0" distR="0" wp14:anchorId="765059E8" wp14:editId="43247FCE">
            <wp:extent cx="1839595" cy="973455"/>
            <wp:effectExtent l="0" t="0" r="8255" b="0"/>
            <wp:docPr id="1991864702" name="Picture 54" descr="E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4702" name="Picture 54" descr="ETF logo"/>
                    <pic:cNvPicPr/>
                  </pic:nvPicPr>
                  <pic:blipFill>
                    <a:blip r:embed="rId10">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1839595" cy="973455"/>
                    </a:xfrm>
                    <a:prstGeom prst="rect">
                      <a:avLst/>
                    </a:prstGeom>
                  </pic:spPr>
                </pic:pic>
              </a:graphicData>
            </a:graphic>
          </wp:inline>
        </w:drawing>
      </w:r>
      <w:r w:rsidRPr="70915E7B">
        <w:rPr>
          <w:b/>
          <w:bCs/>
          <w:sz w:val="36"/>
          <w:szCs w:val="36"/>
        </w:rPr>
        <w:t xml:space="preserve"> </w:t>
      </w:r>
      <w:r>
        <w:rPr>
          <w:noProof/>
        </w:rPr>
        <w:drawing>
          <wp:anchor distT="0" distB="0" distL="114300" distR="114300" simplePos="0" relativeHeight="251658240" behindDoc="0" locked="0" layoutInCell="1" allowOverlap="1" wp14:anchorId="713FD38A" wp14:editId="29A6E995">
            <wp:simplePos x="0" y="0"/>
            <wp:positionH relativeFrom="column">
              <wp:align>right</wp:align>
            </wp:positionH>
            <wp:positionV relativeFrom="paragraph">
              <wp:posOffset>0</wp:posOffset>
            </wp:positionV>
            <wp:extent cx="2343150" cy="781050"/>
            <wp:effectExtent l="0" t="0" r="0" b="0"/>
            <wp:wrapSquare wrapText="bothSides"/>
            <wp:docPr id="442786846" name="Picture 442786846" descr="T Lev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86846" name="Picture 442786846" descr="T Level logo"/>
                    <pic:cNvPicPr/>
                  </pic:nvPicPr>
                  <pic:blipFill>
                    <a:blip r:embed="rId11">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14:sizeRelH relativeFrom="page">
              <wp14:pctWidth>0</wp14:pctWidth>
            </wp14:sizeRelH>
            <wp14:sizeRelV relativeFrom="page">
              <wp14:pctHeight>0</wp14:pctHeight>
            </wp14:sizeRelV>
          </wp:anchor>
        </w:drawing>
      </w:r>
      <w:r w:rsidR="00966F33">
        <w:br/>
      </w:r>
    </w:p>
    <w:p w14:paraId="4DF2D54B" w14:textId="51399955" w:rsidR="70915E7B" w:rsidRDefault="70915E7B" w:rsidP="70915E7B"/>
    <w:p w14:paraId="7FBF24DD" w14:textId="380E4C4E" w:rsidR="70915E7B" w:rsidRDefault="70915E7B" w:rsidP="70915E7B"/>
    <w:p w14:paraId="0973CC40" w14:textId="1FEB5F54" w:rsidR="70915E7B" w:rsidRDefault="70915E7B" w:rsidP="70915E7B"/>
    <w:p w14:paraId="58293192" w14:textId="77777777" w:rsidR="00D0133B" w:rsidRDefault="00D0133B">
      <w:pPr>
        <w:rPr>
          <w:b/>
          <w:bCs/>
          <w:sz w:val="36"/>
          <w:szCs w:val="36"/>
        </w:rPr>
      </w:pPr>
    </w:p>
    <w:p w14:paraId="40C59AC2" w14:textId="77777777" w:rsidR="00C84EAA" w:rsidRPr="00A761C5" w:rsidRDefault="00C84EAA" w:rsidP="00C84EAA">
      <w:pPr>
        <w:rPr>
          <w:rFonts w:cs="Arial"/>
          <w:b/>
          <w:bCs/>
          <w:sz w:val="28"/>
          <w:szCs w:val="28"/>
        </w:rPr>
      </w:pPr>
    </w:p>
    <w:p w14:paraId="3A85620D" w14:textId="0EF3EB5B" w:rsidR="00DD541B" w:rsidRPr="00A761C5" w:rsidRDefault="00A761C5" w:rsidP="00C84EAA">
      <w:pPr>
        <w:rPr>
          <w:rFonts w:cs="Arial"/>
          <w:b/>
          <w:bCs/>
          <w:sz w:val="28"/>
          <w:szCs w:val="28"/>
        </w:rPr>
      </w:pPr>
      <w:r w:rsidRPr="00A761C5">
        <w:rPr>
          <w:rFonts w:cs="Arial"/>
          <w:b/>
          <w:bCs/>
          <w:sz w:val="28"/>
          <w:szCs w:val="28"/>
        </w:rPr>
        <w:t xml:space="preserve">TRIP </w:t>
      </w:r>
      <w:r w:rsidR="003C12AD">
        <w:rPr>
          <w:rFonts w:cs="Arial"/>
          <w:b/>
          <w:bCs/>
          <w:sz w:val="28"/>
          <w:szCs w:val="28"/>
        </w:rPr>
        <w:t>1</w:t>
      </w:r>
      <w:r w:rsidR="00CB5BD0">
        <w:rPr>
          <w:rFonts w:cs="Arial"/>
          <w:b/>
          <w:bCs/>
          <w:sz w:val="28"/>
          <w:szCs w:val="28"/>
        </w:rPr>
        <w:t>4</w:t>
      </w:r>
    </w:p>
    <w:p w14:paraId="5A85955F" w14:textId="77777777" w:rsidR="00D0133B" w:rsidRPr="00D0133B" w:rsidRDefault="00D0133B" w:rsidP="00D0133B">
      <w:pPr>
        <w:rPr>
          <w:lang w:eastAsia="en-GB"/>
        </w:rPr>
      </w:pPr>
    </w:p>
    <w:p w14:paraId="359B2CF9" w14:textId="77777777" w:rsidR="0098523C" w:rsidRPr="0098523C" w:rsidRDefault="0098523C" w:rsidP="0098523C">
      <w:pPr>
        <w:widowControl w:val="0"/>
        <w:suppressAutoHyphens/>
        <w:autoSpaceDE w:val="0"/>
        <w:autoSpaceDN w:val="0"/>
        <w:textAlignment w:val="baseline"/>
        <w:rPr>
          <w:rFonts w:eastAsia="Bryant Regular" w:cs="Arial"/>
          <w:b/>
          <w:bCs/>
          <w:kern w:val="0"/>
          <w:sz w:val="28"/>
          <w:szCs w:val="28"/>
          <w14:ligatures w14:val="none"/>
        </w:rPr>
      </w:pPr>
      <w:r w:rsidRPr="0098523C">
        <w:rPr>
          <w:rFonts w:eastAsia="Bryant Regular" w:cs="Arial"/>
          <w:b/>
          <w:bCs/>
          <w:kern w:val="0"/>
          <w:sz w:val="28"/>
          <w:szCs w:val="28"/>
          <w14:ligatures w14:val="none"/>
        </w:rPr>
        <w:t>Produce materials to support Occupational Specialism holistic delivery</w:t>
      </w:r>
    </w:p>
    <w:p w14:paraId="1D192B52" w14:textId="77777777" w:rsidR="0098523C" w:rsidRPr="0098523C" w:rsidRDefault="0098523C" w:rsidP="0098523C">
      <w:pPr>
        <w:widowControl w:val="0"/>
        <w:suppressAutoHyphens/>
        <w:autoSpaceDE w:val="0"/>
        <w:autoSpaceDN w:val="0"/>
        <w:textAlignment w:val="baseline"/>
        <w:rPr>
          <w:rFonts w:cs="Arial"/>
          <w:b/>
          <w:bCs/>
          <w:sz w:val="28"/>
          <w:szCs w:val="28"/>
        </w:rPr>
      </w:pPr>
    </w:p>
    <w:p w14:paraId="785B4FA8" w14:textId="529AFBDF" w:rsidR="00800DE7" w:rsidRPr="009E15FB" w:rsidRDefault="00417129" w:rsidP="00800DE7">
      <w:pPr>
        <w:textAlignment w:val="baseline"/>
        <w:rPr>
          <w:rFonts w:cs="Arial"/>
        </w:rPr>
      </w:pPr>
      <w:r w:rsidRPr="00417129">
        <w:rPr>
          <w:rFonts w:cs="Arial"/>
        </w:rPr>
        <w:t>This T Level Resource Improvement Pr</w:t>
      </w:r>
      <w:r>
        <w:rPr>
          <w:rFonts w:cs="Arial"/>
        </w:rPr>
        <w:t>o</w:t>
      </w:r>
      <w:r w:rsidRPr="00417129">
        <w:rPr>
          <w:rFonts w:cs="Arial"/>
        </w:rPr>
        <w:t xml:space="preserve">ject (TRIP) </w:t>
      </w:r>
      <w:r w:rsidR="00910A2E">
        <w:rPr>
          <w:rFonts w:cs="Arial"/>
        </w:rPr>
        <w:t>has produced</w:t>
      </w:r>
      <w:r w:rsidR="00070B6E">
        <w:rPr>
          <w:rFonts w:cs="Arial"/>
        </w:rPr>
        <w:t xml:space="preserve"> a range of </w:t>
      </w:r>
      <w:r w:rsidR="00280B3F">
        <w:rPr>
          <w:rFonts w:cs="Arial"/>
        </w:rPr>
        <w:t>learning materials</w:t>
      </w:r>
      <w:r w:rsidR="00C81F19">
        <w:rPr>
          <w:rFonts w:cs="Arial"/>
        </w:rPr>
        <w:t>, developed</w:t>
      </w:r>
      <w:r w:rsidR="00317434">
        <w:rPr>
          <w:rFonts w:cs="Arial"/>
        </w:rPr>
        <w:t xml:space="preserve"> </w:t>
      </w:r>
      <w:r w:rsidR="0078454B" w:rsidRPr="00AB18F0">
        <w:rPr>
          <w:rFonts w:cs="Arial"/>
        </w:rPr>
        <w:t>and peer reviewed</w:t>
      </w:r>
      <w:r w:rsidR="00C81F19">
        <w:rPr>
          <w:rFonts w:cs="Arial"/>
        </w:rPr>
        <w:t xml:space="preserve"> by experienced T Level providers. These </w:t>
      </w:r>
      <w:r w:rsidR="0078454B" w:rsidRPr="00AB18F0">
        <w:rPr>
          <w:rFonts w:cs="Arial"/>
        </w:rPr>
        <w:t xml:space="preserve">learning </w:t>
      </w:r>
      <w:r w:rsidR="00910A2E">
        <w:rPr>
          <w:rFonts w:cs="Arial"/>
        </w:rPr>
        <w:t>materials</w:t>
      </w:r>
      <w:r w:rsidR="0078454B" w:rsidRPr="00AB18F0">
        <w:rPr>
          <w:rFonts w:cs="Arial"/>
        </w:rPr>
        <w:t xml:space="preserve"> </w:t>
      </w:r>
      <w:r w:rsidR="0006798F">
        <w:rPr>
          <w:rFonts w:cs="Arial"/>
        </w:rPr>
        <w:t xml:space="preserve">will </w:t>
      </w:r>
      <w:bookmarkStart w:id="0" w:name="_Hlk167858847"/>
      <w:r w:rsidR="00263C45">
        <w:rPr>
          <w:rFonts w:cs="Arial"/>
        </w:rPr>
        <w:t xml:space="preserve">support </w:t>
      </w:r>
      <w:r w:rsidR="00263C45" w:rsidRPr="00800DE7">
        <w:rPr>
          <w:rFonts w:cs="Arial"/>
        </w:rPr>
        <w:t xml:space="preserve">providers to </w:t>
      </w:r>
      <w:r w:rsidR="00263C45" w:rsidRPr="009E15FB">
        <w:rPr>
          <w:rFonts w:cs="Arial"/>
        </w:rPr>
        <w:t>holistically deliver Performance Outcome</w:t>
      </w:r>
      <w:r w:rsidR="008767F6" w:rsidRPr="009E15FB">
        <w:rPr>
          <w:rFonts w:cs="Arial"/>
        </w:rPr>
        <w:t xml:space="preserve"> </w:t>
      </w:r>
      <w:r w:rsidR="009E15FB" w:rsidRPr="009E15FB">
        <w:rPr>
          <w:rFonts w:cs="Arial"/>
        </w:rPr>
        <w:t>1</w:t>
      </w:r>
      <w:r w:rsidR="00263C45" w:rsidRPr="009E15FB">
        <w:rPr>
          <w:rFonts w:cs="Arial"/>
        </w:rPr>
        <w:t xml:space="preserve"> of </w:t>
      </w:r>
      <w:r w:rsidR="00800DE7" w:rsidRPr="009E15FB">
        <w:rPr>
          <w:rFonts w:cs="Arial"/>
        </w:rPr>
        <w:t xml:space="preserve">the </w:t>
      </w:r>
      <w:r w:rsidR="00263C45" w:rsidRPr="009E15FB">
        <w:rPr>
          <w:rFonts w:cs="Arial"/>
        </w:rPr>
        <w:t>Occupational Specialism</w:t>
      </w:r>
      <w:r w:rsidR="00327C05" w:rsidRPr="009E15FB">
        <w:rPr>
          <w:rFonts w:cs="Arial"/>
        </w:rPr>
        <w:t xml:space="preserve"> </w:t>
      </w:r>
      <w:r w:rsidR="009E4691" w:rsidRPr="009E15FB">
        <w:rPr>
          <w:rFonts w:cs="Arial"/>
        </w:rPr>
        <w:t>Technical</w:t>
      </w:r>
      <w:r w:rsidR="00EB5FCE">
        <w:rPr>
          <w:rFonts w:cs="Arial"/>
        </w:rPr>
        <w:t xml:space="preserve">: </w:t>
      </w:r>
      <w:r w:rsidR="009E4691" w:rsidRPr="009E15FB">
        <w:rPr>
          <w:rFonts w:cs="Arial"/>
        </w:rPr>
        <w:t>Laboratory</w:t>
      </w:r>
      <w:r w:rsidR="00EE124A" w:rsidRPr="009E15FB">
        <w:rPr>
          <w:rFonts w:cs="Arial"/>
        </w:rPr>
        <w:t xml:space="preserve"> Sciences</w:t>
      </w:r>
      <w:r w:rsidR="009E4691" w:rsidRPr="009E15FB">
        <w:rPr>
          <w:rFonts w:cs="Arial"/>
        </w:rPr>
        <w:t xml:space="preserve"> </w:t>
      </w:r>
      <w:r w:rsidR="00800DE7" w:rsidRPr="009E15FB">
        <w:rPr>
          <w:rFonts w:cs="Arial"/>
        </w:rPr>
        <w:t xml:space="preserve">of the </w:t>
      </w:r>
      <w:r w:rsidR="00800DE7" w:rsidRPr="00FF676A">
        <w:rPr>
          <w:rFonts w:cs="Arial"/>
          <w:b/>
          <w:bCs/>
        </w:rPr>
        <w:t>T Level in</w:t>
      </w:r>
      <w:r w:rsidR="00CB5BD0" w:rsidRPr="00FF676A">
        <w:rPr>
          <w:rFonts w:cs="Arial"/>
          <w:b/>
          <w:bCs/>
        </w:rPr>
        <w:t xml:space="preserve"> Science</w:t>
      </w:r>
      <w:r w:rsidR="00800DE7" w:rsidRPr="009E15FB">
        <w:rPr>
          <w:rFonts w:cs="Arial"/>
        </w:rPr>
        <w:t>.</w:t>
      </w:r>
    </w:p>
    <w:p w14:paraId="620BE002" w14:textId="77777777" w:rsidR="00800DE7" w:rsidRDefault="00800DE7" w:rsidP="00800DE7">
      <w:pPr>
        <w:textAlignment w:val="baseline"/>
        <w:rPr>
          <w:rFonts w:cs="Arial"/>
        </w:rPr>
      </w:pPr>
    </w:p>
    <w:bookmarkEnd w:id="0"/>
    <w:p w14:paraId="5B7A1C1A" w14:textId="0ED0EA6F" w:rsidR="00A0183D" w:rsidRDefault="00230BAF" w:rsidP="0078454B">
      <w:pPr>
        <w:textAlignment w:val="baseline"/>
        <w:rPr>
          <w:rFonts w:cs="Arial"/>
        </w:rPr>
      </w:pPr>
      <w:r w:rsidRPr="00230BAF">
        <w:rPr>
          <w:rFonts w:cs="Arial"/>
        </w:rPr>
        <w:t xml:space="preserve">Produced by </w:t>
      </w:r>
      <w:r w:rsidR="00EB5FCE">
        <w:rPr>
          <w:rFonts w:cs="Arial"/>
          <w:b/>
          <w:bCs/>
        </w:rPr>
        <w:t xml:space="preserve">Windsor Forest </w:t>
      </w:r>
      <w:r w:rsidR="002F06C7" w:rsidRPr="002F06C7">
        <w:rPr>
          <w:rFonts w:cs="Arial"/>
          <w:b/>
          <w:bCs/>
        </w:rPr>
        <w:t>College</w:t>
      </w:r>
      <w:r w:rsidR="002F06C7" w:rsidRPr="002F06C7">
        <w:rPr>
          <w:rFonts w:cs="Arial"/>
        </w:rPr>
        <w:t>, this</w:t>
      </w:r>
      <w:r w:rsidR="00862D4B" w:rsidRPr="002F06C7">
        <w:rPr>
          <w:rFonts w:cs="Arial"/>
        </w:rPr>
        <w:t xml:space="preserve"> TRIP</w:t>
      </w:r>
      <w:r w:rsidRPr="002F06C7">
        <w:rPr>
          <w:rFonts w:cs="Arial"/>
        </w:rPr>
        <w:t xml:space="preserve"> </w:t>
      </w:r>
      <w:r w:rsidR="0046498E" w:rsidRPr="002F06C7">
        <w:rPr>
          <w:rFonts w:cs="Arial"/>
        </w:rPr>
        <w:t xml:space="preserve">provides </w:t>
      </w:r>
      <w:r w:rsidR="00DE5478">
        <w:rPr>
          <w:rFonts w:cs="Arial"/>
        </w:rPr>
        <w:t xml:space="preserve">an accessible framework for learning, </w:t>
      </w:r>
      <w:r w:rsidR="00144FBC">
        <w:rPr>
          <w:rFonts w:cs="Arial"/>
        </w:rPr>
        <w:t xml:space="preserve">lesson plans and supporting </w:t>
      </w:r>
      <w:r w:rsidR="00DE5478">
        <w:rPr>
          <w:rFonts w:cs="Arial"/>
        </w:rPr>
        <w:t>learning materials</w:t>
      </w:r>
      <w:r w:rsidR="0046498E" w:rsidRPr="0070753E">
        <w:rPr>
          <w:rFonts w:cs="Arial"/>
        </w:rPr>
        <w:t xml:space="preserve"> that will </w:t>
      </w:r>
      <w:r w:rsidR="00A0183D">
        <w:rPr>
          <w:rFonts w:cs="Arial"/>
        </w:rPr>
        <w:t>enable</w:t>
      </w:r>
      <w:r w:rsidR="0046498E" w:rsidRPr="0070753E">
        <w:rPr>
          <w:rFonts w:cs="Arial"/>
        </w:rPr>
        <w:t xml:space="preserve"> learners to </w:t>
      </w:r>
      <w:r w:rsidR="00C57110">
        <w:rPr>
          <w:rFonts w:cs="Arial"/>
        </w:rPr>
        <w:t xml:space="preserve">hone and develop </w:t>
      </w:r>
      <w:r w:rsidR="00263C45">
        <w:rPr>
          <w:rFonts w:cs="Arial"/>
        </w:rPr>
        <w:t>knowledge and s</w:t>
      </w:r>
      <w:r w:rsidR="00C57110">
        <w:rPr>
          <w:rFonts w:cs="Arial"/>
        </w:rPr>
        <w:t>kill</w:t>
      </w:r>
      <w:r w:rsidR="00263C45">
        <w:rPr>
          <w:rFonts w:cs="Arial"/>
        </w:rPr>
        <w:t>s</w:t>
      </w:r>
      <w:r w:rsidR="00C57110">
        <w:rPr>
          <w:rFonts w:cs="Arial"/>
        </w:rPr>
        <w:t xml:space="preserve"> </w:t>
      </w:r>
      <w:r w:rsidR="00C80D48">
        <w:rPr>
          <w:rFonts w:cs="Arial"/>
        </w:rPr>
        <w:t xml:space="preserve">for </w:t>
      </w:r>
      <w:r w:rsidR="00971565">
        <w:rPr>
          <w:rFonts w:cs="Arial"/>
        </w:rPr>
        <w:t>th</w:t>
      </w:r>
      <w:r w:rsidR="006A4A36">
        <w:rPr>
          <w:rFonts w:cs="Arial"/>
        </w:rPr>
        <w:t>e</w:t>
      </w:r>
      <w:r w:rsidR="006A4A36" w:rsidRPr="006A4A36">
        <w:t xml:space="preserve"> </w:t>
      </w:r>
      <w:r w:rsidR="006A4A36">
        <w:t xml:space="preserve">Technical: Laboratory Sciences Occupational Specialism </w:t>
      </w:r>
      <w:r w:rsidR="006A4A36" w:rsidRPr="009E15FB">
        <w:rPr>
          <w:rFonts w:cs="Arial"/>
        </w:rPr>
        <w:t xml:space="preserve">of the T Level in </w:t>
      </w:r>
      <w:r w:rsidR="00254715" w:rsidRPr="009E15FB">
        <w:rPr>
          <w:rFonts w:cs="Arial"/>
        </w:rPr>
        <w:t>Science.</w:t>
      </w:r>
    </w:p>
    <w:p w14:paraId="4E408816" w14:textId="77777777" w:rsidR="00A0183D" w:rsidRDefault="00A0183D" w:rsidP="0078454B">
      <w:pPr>
        <w:textAlignment w:val="baseline"/>
        <w:rPr>
          <w:rFonts w:cs="Arial"/>
        </w:rPr>
      </w:pPr>
    </w:p>
    <w:p w14:paraId="5BE2BB0C" w14:textId="10641521" w:rsidR="0046498E" w:rsidRDefault="00D22A28" w:rsidP="0078454B">
      <w:pPr>
        <w:textAlignment w:val="baseline"/>
        <w:rPr>
          <w:rFonts w:cs="Arial"/>
        </w:rPr>
      </w:pPr>
      <w:r>
        <w:rPr>
          <w:rFonts w:cs="Arial"/>
        </w:rPr>
        <w:t>The r</w:t>
      </w:r>
      <w:r w:rsidR="00A0183D">
        <w:rPr>
          <w:rFonts w:cs="Arial"/>
        </w:rPr>
        <w:t>esources include:</w:t>
      </w:r>
    </w:p>
    <w:p w14:paraId="09C7E369" w14:textId="38A41E24" w:rsidR="007E4675" w:rsidRPr="007E4675" w:rsidRDefault="00C25418" w:rsidP="007E4675">
      <w:pPr>
        <w:widowControl w:val="0"/>
        <w:numPr>
          <w:ilvl w:val="0"/>
          <w:numId w:val="28"/>
        </w:numPr>
        <w:suppressAutoHyphens/>
        <w:autoSpaceDE w:val="0"/>
        <w:autoSpaceDN w:val="0"/>
        <w:contextualSpacing/>
        <w:textAlignment w:val="baseline"/>
        <w:rPr>
          <w:rFonts w:cs="Arial"/>
        </w:rPr>
      </w:pPr>
      <w:r>
        <w:rPr>
          <w:rFonts w:cs="Arial"/>
        </w:rPr>
        <w:t>a</w:t>
      </w:r>
      <w:r w:rsidR="007E4675" w:rsidRPr="007E4675">
        <w:rPr>
          <w:rFonts w:cs="Arial"/>
        </w:rPr>
        <w:t xml:space="preserve"> framework for learning to show how learning </w:t>
      </w:r>
      <w:r w:rsidR="007E4675">
        <w:rPr>
          <w:rFonts w:cs="Arial"/>
        </w:rPr>
        <w:t xml:space="preserve">can be </w:t>
      </w:r>
      <w:r w:rsidR="007E4675" w:rsidRPr="007E4675">
        <w:rPr>
          <w:rFonts w:cs="Arial"/>
        </w:rPr>
        <w:t xml:space="preserve">scaffolded and </w:t>
      </w:r>
      <w:r w:rsidR="00460625">
        <w:rPr>
          <w:rFonts w:cs="Arial"/>
        </w:rPr>
        <w:t xml:space="preserve">holistically </w:t>
      </w:r>
      <w:r w:rsidR="007E4675" w:rsidRPr="007E4675">
        <w:rPr>
          <w:rFonts w:cs="Arial"/>
        </w:rPr>
        <w:t>sequenced to develop</w:t>
      </w:r>
      <w:r w:rsidR="00460625">
        <w:rPr>
          <w:rFonts w:cs="Arial"/>
        </w:rPr>
        <w:t xml:space="preserve"> the required knowledge and skills</w:t>
      </w:r>
      <w:r w:rsidR="00E773AF">
        <w:rPr>
          <w:rFonts w:cs="Arial"/>
        </w:rPr>
        <w:t>.</w:t>
      </w:r>
    </w:p>
    <w:p w14:paraId="38DE9758" w14:textId="11380844" w:rsidR="00E45916" w:rsidRDefault="007D711E" w:rsidP="007E4675">
      <w:pPr>
        <w:widowControl w:val="0"/>
        <w:numPr>
          <w:ilvl w:val="0"/>
          <w:numId w:val="28"/>
        </w:numPr>
        <w:suppressAutoHyphens/>
        <w:autoSpaceDE w:val="0"/>
        <w:autoSpaceDN w:val="0"/>
        <w:contextualSpacing/>
        <w:textAlignment w:val="baseline"/>
        <w:rPr>
          <w:rFonts w:cs="Arial"/>
        </w:rPr>
      </w:pPr>
      <w:r>
        <w:rPr>
          <w:rFonts w:cs="Arial"/>
        </w:rPr>
        <w:t>fourteen</w:t>
      </w:r>
      <w:r w:rsidR="000F3FD9" w:rsidRPr="00507B35">
        <w:rPr>
          <w:rFonts w:cs="Arial"/>
        </w:rPr>
        <w:t xml:space="preserve"> l</w:t>
      </w:r>
      <w:r w:rsidR="007E4675" w:rsidRPr="00507B35">
        <w:rPr>
          <w:rFonts w:cs="Arial"/>
        </w:rPr>
        <w:t xml:space="preserve">esson </w:t>
      </w:r>
      <w:r w:rsidR="007E4675" w:rsidRPr="007E4675">
        <w:rPr>
          <w:rFonts w:cs="Arial"/>
        </w:rPr>
        <w:t xml:space="preserve">plans </w:t>
      </w:r>
      <w:r w:rsidR="005E035B">
        <w:rPr>
          <w:rFonts w:cs="Arial"/>
        </w:rPr>
        <w:t>which cover</w:t>
      </w:r>
      <w:r w:rsidR="007E4675" w:rsidRPr="007E4675">
        <w:rPr>
          <w:rFonts w:cs="Arial"/>
        </w:rPr>
        <w:t xml:space="preserve"> </w:t>
      </w:r>
      <w:r w:rsidR="007E4675" w:rsidRPr="00DE7A19">
        <w:rPr>
          <w:rFonts w:cs="Arial"/>
        </w:rPr>
        <w:t>2</w:t>
      </w:r>
      <w:r w:rsidR="00944CE0">
        <w:rPr>
          <w:rFonts w:cs="Arial"/>
        </w:rPr>
        <w:t>1</w:t>
      </w:r>
      <w:r w:rsidR="007E4675" w:rsidRPr="00DE7A19">
        <w:rPr>
          <w:rFonts w:cs="Arial"/>
        </w:rPr>
        <w:t xml:space="preserve"> hours of </w:t>
      </w:r>
      <w:r w:rsidR="007E4675" w:rsidRPr="007E4675">
        <w:rPr>
          <w:rFonts w:cs="Arial"/>
        </w:rPr>
        <w:t xml:space="preserve">learning to support the scaffolding of the </w:t>
      </w:r>
      <w:r w:rsidR="00E45916" w:rsidRPr="00E45916">
        <w:rPr>
          <w:rFonts w:cs="Arial"/>
        </w:rPr>
        <w:t xml:space="preserve">knowledge and skills within the </w:t>
      </w:r>
      <w:r w:rsidR="00E45916">
        <w:rPr>
          <w:rFonts w:cs="Arial"/>
        </w:rPr>
        <w:t xml:space="preserve">Occupational Specialism content with links to </w:t>
      </w:r>
      <w:r w:rsidR="007E6FC2">
        <w:rPr>
          <w:rFonts w:cs="Arial"/>
        </w:rPr>
        <w:t>Industry Placement practice</w:t>
      </w:r>
    </w:p>
    <w:p w14:paraId="4887CE5B" w14:textId="79A18C27" w:rsidR="00E81255" w:rsidRPr="00E81255" w:rsidRDefault="00C25418" w:rsidP="00E81255">
      <w:pPr>
        <w:widowControl w:val="0"/>
        <w:numPr>
          <w:ilvl w:val="0"/>
          <w:numId w:val="28"/>
        </w:numPr>
        <w:suppressAutoHyphens/>
        <w:autoSpaceDE w:val="0"/>
        <w:autoSpaceDN w:val="0"/>
        <w:contextualSpacing/>
        <w:textAlignment w:val="baseline"/>
        <w:rPr>
          <w:rFonts w:cs="Arial"/>
        </w:rPr>
      </w:pPr>
      <w:r>
        <w:rPr>
          <w:rFonts w:cs="Arial"/>
        </w:rPr>
        <w:t>l</w:t>
      </w:r>
      <w:r w:rsidR="007E4675" w:rsidRPr="007E4675">
        <w:rPr>
          <w:rFonts w:cs="Arial"/>
        </w:rPr>
        <w:t xml:space="preserve">earning materials </w:t>
      </w:r>
      <w:r w:rsidR="00345AB1">
        <w:rPr>
          <w:rFonts w:cs="Arial"/>
        </w:rPr>
        <w:t>to support each lesson</w:t>
      </w:r>
      <w:r w:rsidR="007E4675" w:rsidRPr="007E4675">
        <w:rPr>
          <w:rFonts w:cs="Arial"/>
        </w:rPr>
        <w:t xml:space="preserve"> </w:t>
      </w:r>
      <w:r w:rsidR="00345AB1">
        <w:rPr>
          <w:rFonts w:cs="Arial"/>
        </w:rPr>
        <w:t xml:space="preserve">which </w:t>
      </w:r>
      <w:r w:rsidR="007E4675" w:rsidRPr="007E4675">
        <w:rPr>
          <w:rFonts w:cs="Arial"/>
        </w:rPr>
        <w:t>enable</w:t>
      </w:r>
      <w:r w:rsidR="00345AB1">
        <w:rPr>
          <w:rFonts w:cs="Arial"/>
        </w:rPr>
        <w:t>s</w:t>
      </w:r>
      <w:r w:rsidR="007E4675" w:rsidRPr="007E4675">
        <w:rPr>
          <w:rFonts w:cs="Arial"/>
        </w:rPr>
        <w:t xml:space="preserve"> the delivery of the </w:t>
      </w:r>
      <w:r w:rsidR="007E4675" w:rsidRPr="00DE7A19">
        <w:rPr>
          <w:rFonts w:cs="Arial"/>
        </w:rPr>
        <w:t>2</w:t>
      </w:r>
      <w:r w:rsidR="00737943">
        <w:rPr>
          <w:rFonts w:cs="Arial"/>
        </w:rPr>
        <w:t>1</w:t>
      </w:r>
      <w:r w:rsidR="007E4675" w:rsidRPr="00DE7A19">
        <w:rPr>
          <w:rFonts w:cs="Arial"/>
        </w:rPr>
        <w:t xml:space="preserve"> hours </w:t>
      </w:r>
      <w:r w:rsidR="007E4675" w:rsidRPr="007E4675">
        <w:rPr>
          <w:rFonts w:cs="Arial"/>
        </w:rPr>
        <w:t>of learning</w:t>
      </w:r>
    </w:p>
    <w:p w14:paraId="15CF2E5A" w14:textId="77777777" w:rsidR="003B24B5" w:rsidRDefault="003B24B5" w:rsidP="002B439B">
      <w:pPr>
        <w:tabs>
          <w:tab w:val="left" w:pos="9645"/>
        </w:tabs>
        <w:spacing w:before="240"/>
        <w:contextualSpacing/>
        <w:rPr>
          <w:rFonts w:cs="Arial"/>
        </w:rPr>
      </w:pPr>
    </w:p>
    <w:p w14:paraId="79B979B7" w14:textId="12852998" w:rsidR="002F5A79" w:rsidRPr="002F5A79" w:rsidRDefault="002F5A79" w:rsidP="002F5A79">
      <w:pPr>
        <w:spacing w:after="160" w:line="257" w:lineRule="auto"/>
        <w:rPr>
          <w:rFonts w:cs="Arial"/>
        </w:rPr>
      </w:pPr>
      <w:r w:rsidRPr="002F5A79">
        <w:rPr>
          <w:rFonts w:cs="Arial"/>
        </w:rPr>
        <w:t>The framework for learning, lesson plans and associated learning materials facilitate holistic delivery of Performance Outcome 1 using a contextualised approach, giving learners realistic workplace scenarios and developing their technical practical skills through a range of practical activities.</w:t>
      </w:r>
    </w:p>
    <w:p w14:paraId="5B7F51A6" w14:textId="5B87535B" w:rsidR="002F5A79" w:rsidRDefault="002F5A79" w:rsidP="002F5A79">
      <w:pPr>
        <w:spacing w:after="160" w:line="257" w:lineRule="auto"/>
      </w:pPr>
      <w:r>
        <w:t>Any realistic technical scenario will also inevitably cover aspects of both Performance Outcomes 2 and 3, and these are indicated in the framework of learning where appropriate</w:t>
      </w:r>
      <w:r w:rsidR="008B4D66">
        <w:t>, promoting the notion of holistic delivery of the Occupational Specialism content</w:t>
      </w:r>
      <w:r>
        <w:t xml:space="preserve">. </w:t>
      </w:r>
    </w:p>
    <w:p w14:paraId="163FEAFF" w14:textId="77777777" w:rsidR="00E81255" w:rsidRDefault="00E81255" w:rsidP="002B439B">
      <w:pPr>
        <w:tabs>
          <w:tab w:val="left" w:pos="9645"/>
        </w:tabs>
        <w:spacing w:before="240"/>
        <w:contextualSpacing/>
        <w:rPr>
          <w:rFonts w:cs="Arial"/>
        </w:rPr>
      </w:pPr>
    </w:p>
    <w:p w14:paraId="4752D48B" w14:textId="738CDD44" w:rsidR="008B4D66" w:rsidRDefault="008B4D66" w:rsidP="008B4D66">
      <w:pPr>
        <w:spacing w:after="160" w:line="257" w:lineRule="auto"/>
      </w:pPr>
      <w:r>
        <w:lastRenderedPageBreak/>
        <w:t xml:space="preserve">The learning in this resource is based on quantitative analysis using different kinds of titration, with a scenario involving work in an analytical laboratory setting. The scenario could be adapted by providers to consider local employers. </w:t>
      </w:r>
    </w:p>
    <w:p w14:paraId="4FB0B6D5" w14:textId="77777777" w:rsidR="008B4D66" w:rsidRPr="001A02B4" w:rsidRDefault="008B4D66" w:rsidP="008B4D66">
      <w:pPr>
        <w:spacing w:after="160" w:line="257" w:lineRule="auto"/>
      </w:pPr>
      <w:r w:rsidRPr="001A02B4">
        <w:t>As a laboratory technician in an analytical laboratory undertaking quantitative analysis (assay)</w:t>
      </w:r>
      <w:r>
        <w:t>,</w:t>
      </w:r>
      <w:r w:rsidRPr="001A02B4">
        <w:t xml:space="preserve"> there would be an expectation to complete both manual and automated titrations</w:t>
      </w:r>
      <w:r>
        <w:t>. I</w:t>
      </w:r>
      <w:r w:rsidRPr="001A02B4">
        <w:t>n fact</w:t>
      </w:r>
      <w:r>
        <w:t>,</w:t>
      </w:r>
      <w:r w:rsidRPr="001A02B4">
        <w:t xml:space="preserve"> many of the titration analyses completed in commercial laboratories use the manual processes that learners undertake in this framework for learning. The use of probes to follow a titration will allow learners to relate their work to auto</w:t>
      </w:r>
      <w:r>
        <w:t xml:space="preserve"> </w:t>
      </w:r>
      <w:r w:rsidRPr="001A02B4">
        <w:t>titrators which are used commercially.</w:t>
      </w:r>
    </w:p>
    <w:p w14:paraId="4962D727" w14:textId="77777777" w:rsidR="008B4D66" w:rsidRPr="001A02B4" w:rsidRDefault="008B4D66" w:rsidP="008B4D66">
      <w:pPr>
        <w:spacing w:after="160" w:line="257" w:lineRule="auto"/>
      </w:pPr>
      <w:r w:rsidRPr="001A02B4">
        <w:t>This framework also allows learners to develop their autonomy in their work so that they feel confident to use written instructions to carry out analyses with quality and efficiency.</w:t>
      </w:r>
    </w:p>
    <w:p w14:paraId="6FE4E1D6" w14:textId="77777777" w:rsidR="008B4D66" w:rsidRDefault="008B4D66" w:rsidP="008B4D66">
      <w:pPr>
        <w:spacing w:after="160" w:line="257" w:lineRule="auto"/>
      </w:pPr>
      <w:r>
        <w:t>The practical activities covered in the scenario will allow learners to develop appropriate skills to perform a range of scientific techniques, including:</w:t>
      </w:r>
    </w:p>
    <w:p w14:paraId="3AB8B372" w14:textId="77777777" w:rsidR="008B4D66" w:rsidRDefault="008B4D66" w:rsidP="008B4D66">
      <w:pPr>
        <w:widowControl w:val="0"/>
        <w:numPr>
          <w:ilvl w:val="0"/>
          <w:numId w:val="33"/>
        </w:numPr>
        <w:spacing w:line="360" w:lineRule="auto"/>
      </w:pPr>
      <w:r>
        <w:t>acid-base and redox titrations</w:t>
      </w:r>
    </w:p>
    <w:p w14:paraId="5AC8FB0C" w14:textId="77777777" w:rsidR="008B4D66" w:rsidRDefault="008B4D66" w:rsidP="008B4D66">
      <w:pPr>
        <w:widowControl w:val="0"/>
        <w:numPr>
          <w:ilvl w:val="0"/>
          <w:numId w:val="33"/>
        </w:numPr>
        <w:spacing w:after="160" w:line="257" w:lineRule="auto"/>
      </w:pPr>
      <w:r>
        <w:t>preparing a serial dilution</w:t>
      </w:r>
    </w:p>
    <w:p w14:paraId="6B53E502" w14:textId="77777777" w:rsidR="008B4D66" w:rsidRDefault="008B4D66" w:rsidP="008B4D66">
      <w:pPr>
        <w:numPr>
          <w:ilvl w:val="0"/>
          <w:numId w:val="33"/>
        </w:numPr>
        <w:spacing w:after="160" w:line="257" w:lineRule="auto"/>
      </w:pPr>
      <w:r>
        <w:t>preparing a solution of defined molar concentration</w:t>
      </w:r>
    </w:p>
    <w:p w14:paraId="0C855BEA" w14:textId="77777777" w:rsidR="008B4D66" w:rsidRDefault="008B4D66" w:rsidP="008B4D66">
      <w:pPr>
        <w:numPr>
          <w:ilvl w:val="0"/>
          <w:numId w:val="33"/>
        </w:numPr>
        <w:spacing w:after="160" w:line="257" w:lineRule="auto"/>
      </w:pPr>
      <w:r>
        <w:t>using a conductivity meter to measure the conductivity of a solution</w:t>
      </w:r>
    </w:p>
    <w:p w14:paraId="7323DFEB" w14:textId="77777777" w:rsidR="008B4D66" w:rsidRDefault="008B4D66" w:rsidP="008B4D66">
      <w:pPr>
        <w:numPr>
          <w:ilvl w:val="0"/>
          <w:numId w:val="33"/>
        </w:numPr>
        <w:spacing w:after="160" w:line="257" w:lineRule="auto"/>
      </w:pPr>
      <w:r>
        <w:t>calibrating a pH meter, a balance and a mechanical (variable-volume) pipette.</w:t>
      </w:r>
    </w:p>
    <w:p w14:paraId="0174A517" w14:textId="3AA405AB" w:rsidR="00C47993" w:rsidRDefault="008B4D66" w:rsidP="008B4D66">
      <w:pPr>
        <w:tabs>
          <w:tab w:val="left" w:pos="9645"/>
        </w:tabs>
        <w:spacing w:before="240"/>
        <w:contextualSpacing/>
        <w:rPr>
          <w:rFonts w:cs="Arial"/>
        </w:rPr>
      </w:pPr>
      <w:r>
        <w:t xml:space="preserve">There </w:t>
      </w:r>
      <w:r w:rsidR="00FF676A">
        <w:t>are</w:t>
      </w:r>
      <w:r>
        <w:t xml:space="preserve"> opportunit</w:t>
      </w:r>
      <w:r w:rsidR="00FF676A">
        <w:t>ies within the lesson plans</w:t>
      </w:r>
      <w:r>
        <w:t xml:space="preserve"> for providers to link the project work to visits, speakers or placements at local analytical laboratories to give learners context regarding the skills learnt and how processes may differ in practice</w:t>
      </w:r>
    </w:p>
    <w:p w14:paraId="31ACC98A" w14:textId="77777777" w:rsidR="00C47993" w:rsidRDefault="00C47993" w:rsidP="002B439B">
      <w:pPr>
        <w:tabs>
          <w:tab w:val="left" w:pos="9645"/>
        </w:tabs>
        <w:spacing w:before="240"/>
        <w:contextualSpacing/>
        <w:rPr>
          <w:rFonts w:cs="Arial"/>
        </w:rPr>
      </w:pPr>
    </w:p>
    <w:p w14:paraId="7490AB22" w14:textId="77777777" w:rsidR="00C47993" w:rsidRDefault="00C47993" w:rsidP="002B439B">
      <w:pPr>
        <w:tabs>
          <w:tab w:val="left" w:pos="9645"/>
        </w:tabs>
        <w:spacing w:before="240"/>
        <w:contextualSpacing/>
        <w:rPr>
          <w:rFonts w:cs="Arial"/>
        </w:rPr>
      </w:pPr>
    </w:p>
    <w:p w14:paraId="76DEF621" w14:textId="70AFDDC4" w:rsidR="00C84EAA" w:rsidRPr="005945E3" w:rsidRDefault="00DD17F7" w:rsidP="008477B3">
      <w:pPr>
        <w:pStyle w:val="Heading2"/>
        <w:rPr>
          <w:rFonts w:eastAsiaTheme="minorHAnsi" w:cs="Arial"/>
          <w:b w:val="0"/>
          <w:i w:val="0"/>
          <w:szCs w:val="22"/>
        </w:rPr>
      </w:pPr>
      <w:r w:rsidRPr="005945E3">
        <w:rPr>
          <w:rFonts w:eastAsiaTheme="minorHAnsi" w:cs="Arial"/>
          <w:b w:val="0"/>
          <w:i w:val="0"/>
          <w:szCs w:val="22"/>
        </w:rPr>
        <w:t xml:space="preserve">The learning materials </w:t>
      </w:r>
      <w:r w:rsidR="00574CE1" w:rsidRPr="005945E3">
        <w:rPr>
          <w:rFonts w:eastAsiaTheme="minorHAnsi" w:cs="Arial"/>
          <w:b w:val="0"/>
          <w:i w:val="0"/>
          <w:szCs w:val="22"/>
        </w:rPr>
        <w:t>to support each lesson includes</w:t>
      </w:r>
      <w:r w:rsidR="00F66042" w:rsidRPr="005945E3">
        <w:rPr>
          <w:rFonts w:eastAsiaTheme="minorHAnsi" w:cs="Arial"/>
          <w:b w:val="0"/>
          <w:i w:val="0"/>
          <w:szCs w:val="22"/>
        </w:rPr>
        <w:t xml:space="preserve"> </w:t>
      </w:r>
      <w:r w:rsidR="0023097A">
        <w:rPr>
          <w:rFonts w:eastAsiaTheme="minorHAnsi" w:cs="Arial"/>
          <w:b w:val="0"/>
          <w:i w:val="0"/>
          <w:szCs w:val="22"/>
        </w:rPr>
        <w:t xml:space="preserve">example Standard Operating </w:t>
      </w:r>
      <w:r w:rsidR="00A06926">
        <w:rPr>
          <w:rFonts w:eastAsiaTheme="minorHAnsi" w:cs="Arial"/>
          <w:b w:val="0"/>
          <w:i w:val="0"/>
          <w:szCs w:val="22"/>
        </w:rPr>
        <w:t>Procedures</w:t>
      </w:r>
      <w:r w:rsidR="0023097A">
        <w:rPr>
          <w:rFonts w:eastAsiaTheme="minorHAnsi" w:cs="Arial"/>
          <w:b w:val="0"/>
          <w:i w:val="0"/>
          <w:szCs w:val="22"/>
        </w:rPr>
        <w:t xml:space="preserve"> (SOPs)</w:t>
      </w:r>
      <w:r w:rsidR="00CC0D34" w:rsidRPr="005945E3">
        <w:rPr>
          <w:rFonts w:eastAsiaTheme="minorHAnsi" w:cs="Arial"/>
          <w:b w:val="0"/>
          <w:i w:val="0"/>
          <w:szCs w:val="22"/>
        </w:rPr>
        <w:t xml:space="preserve">, </w:t>
      </w:r>
      <w:r w:rsidR="00C43083">
        <w:rPr>
          <w:rFonts w:eastAsiaTheme="minorHAnsi" w:cs="Arial"/>
          <w:b w:val="0"/>
          <w:i w:val="0"/>
          <w:szCs w:val="22"/>
        </w:rPr>
        <w:t>risk assessment examples and templates</w:t>
      </w:r>
      <w:r w:rsidR="00A06926">
        <w:rPr>
          <w:rFonts w:eastAsiaTheme="minorHAnsi" w:cs="Arial"/>
          <w:b w:val="0"/>
          <w:i w:val="0"/>
          <w:szCs w:val="22"/>
        </w:rPr>
        <w:t xml:space="preserve"> and formative assessment questions.</w:t>
      </w:r>
    </w:p>
    <w:p w14:paraId="5845CAC6" w14:textId="77777777" w:rsidR="00483C23" w:rsidRPr="005945E3" w:rsidRDefault="00483C23" w:rsidP="00483C23"/>
    <w:p w14:paraId="5730C0BE" w14:textId="335F2E88" w:rsidR="00483C23" w:rsidRPr="005945E3" w:rsidRDefault="00483C23" w:rsidP="00483C23">
      <w:r w:rsidRPr="005945E3">
        <w:t xml:space="preserve">The separate </w:t>
      </w:r>
      <w:r w:rsidR="00852651" w:rsidRPr="005945E3">
        <w:t xml:space="preserve">PowerPoint slides support the </w:t>
      </w:r>
      <w:r w:rsidR="00FF676A">
        <w:t>fourteen</w:t>
      </w:r>
      <w:r w:rsidR="00852651" w:rsidRPr="005945E3">
        <w:t xml:space="preserve"> lessons</w:t>
      </w:r>
      <w:r w:rsidR="00FF676A">
        <w:t>.</w:t>
      </w:r>
    </w:p>
    <w:p w14:paraId="484D8B85" w14:textId="77777777" w:rsidR="004D51E0" w:rsidRPr="009409FC" w:rsidRDefault="004D51E0" w:rsidP="004D51E0">
      <w:pPr>
        <w:rPr>
          <w:color w:val="FF0000"/>
        </w:rPr>
      </w:pPr>
    </w:p>
    <w:p w14:paraId="0B0D53A6" w14:textId="71F8B2ED" w:rsidR="004D51E0" w:rsidRPr="004D51E0" w:rsidRDefault="004D51E0" w:rsidP="004D51E0"/>
    <w:p w14:paraId="59A0237D" w14:textId="56B75680" w:rsidR="00FA5ABB" w:rsidRDefault="00FD6B40" w:rsidP="00FD175C">
      <w:pPr>
        <w:pStyle w:val="Heading2"/>
        <w:rPr>
          <w:rFonts w:eastAsia="Times New Roman"/>
          <w:lang w:eastAsia="en-GB"/>
        </w:rPr>
      </w:pPr>
      <w:r>
        <w:rPr>
          <w:rFonts w:eastAsia="Times New Roman"/>
          <w:lang w:eastAsia="en-GB"/>
        </w:rPr>
        <w:t>Downloadable resources</w:t>
      </w:r>
    </w:p>
    <w:p w14:paraId="628ADA8E" w14:textId="77777777" w:rsidR="00A17AE9" w:rsidRPr="00A17AE9" w:rsidRDefault="00A17AE9" w:rsidP="00A17AE9">
      <w:pPr>
        <w:rPr>
          <w:lang w:eastAsia="en-GB"/>
        </w:rPr>
      </w:pPr>
    </w:p>
    <w:tbl>
      <w:tblPr>
        <w:tblStyle w:val="TableGrid"/>
        <w:tblW w:w="0" w:type="auto"/>
        <w:tblLook w:val="04A0" w:firstRow="1" w:lastRow="0" w:firstColumn="1" w:lastColumn="0" w:noHBand="0" w:noVBand="1"/>
      </w:tblPr>
      <w:tblGrid>
        <w:gridCol w:w="3681"/>
        <w:gridCol w:w="2410"/>
      </w:tblGrid>
      <w:tr w:rsidR="00FD175C" w14:paraId="3A01360F" w14:textId="77777777" w:rsidTr="00FD175C">
        <w:tc>
          <w:tcPr>
            <w:tcW w:w="3681" w:type="dxa"/>
          </w:tcPr>
          <w:p w14:paraId="36A073D3" w14:textId="483548C9" w:rsidR="00FD175C" w:rsidRDefault="00A17AE9" w:rsidP="00FD175C">
            <w:pPr>
              <w:textAlignment w:val="baseline"/>
              <w:rPr>
                <w:rFonts w:eastAsia="Times New Roman" w:cs="Arial"/>
                <w:lang w:eastAsia="en-GB"/>
              </w:rPr>
            </w:pPr>
            <w:r>
              <w:rPr>
                <w:rFonts w:eastAsia="Times New Roman" w:cs="Arial"/>
                <w:lang w:eastAsia="en-GB"/>
              </w:rPr>
              <w:t xml:space="preserve">Word document including introduction, framework for learning, </w:t>
            </w:r>
            <w:r w:rsidR="00737943">
              <w:rPr>
                <w:rFonts w:eastAsia="Times New Roman" w:cs="Arial"/>
                <w:lang w:eastAsia="en-GB"/>
              </w:rPr>
              <w:t>fourteen</w:t>
            </w:r>
            <w:r w:rsidR="00C36BE3">
              <w:rPr>
                <w:rFonts w:eastAsia="Times New Roman" w:cs="Arial"/>
                <w:lang w:eastAsia="en-GB"/>
              </w:rPr>
              <w:t xml:space="preserve"> </w:t>
            </w:r>
            <w:r>
              <w:rPr>
                <w:rFonts w:eastAsia="Times New Roman" w:cs="Arial"/>
                <w:lang w:eastAsia="en-GB"/>
              </w:rPr>
              <w:t>lesson plans and associated supporting resources</w:t>
            </w:r>
          </w:p>
        </w:tc>
        <w:tc>
          <w:tcPr>
            <w:tcW w:w="2410" w:type="dxa"/>
          </w:tcPr>
          <w:p w14:paraId="44883FB7" w14:textId="0183BAA7" w:rsidR="00FD175C" w:rsidRDefault="009A388F" w:rsidP="00FD175C">
            <w:pPr>
              <w:textAlignment w:val="baseline"/>
              <w:rPr>
                <w:rFonts w:eastAsia="Times New Roman" w:cs="Arial"/>
                <w:lang w:eastAsia="en-GB"/>
              </w:rPr>
            </w:pPr>
            <w:r>
              <w:rPr>
                <w:rFonts w:eastAsia="Times New Roman" w:cs="Arial"/>
                <w:lang w:eastAsia="en-GB"/>
              </w:rPr>
              <w:t>1</w:t>
            </w:r>
          </w:p>
        </w:tc>
      </w:tr>
      <w:tr w:rsidR="00A17AE9" w14:paraId="3BC92170" w14:textId="77777777" w:rsidTr="00FD175C">
        <w:tc>
          <w:tcPr>
            <w:tcW w:w="3681" w:type="dxa"/>
          </w:tcPr>
          <w:p w14:paraId="02A1D3F3" w14:textId="7B0E8398" w:rsidR="00A17AE9" w:rsidRDefault="00A17AE9" w:rsidP="00FD175C">
            <w:pPr>
              <w:textAlignment w:val="baseline"/>
              <w:rPr>
                <w:rFonts w:eastAsia="Times New Roman" w:cs="Arial"/>
                <w:lang w:eastAsia="en-GB"/>
              </w:rPr>
            </w:pPr>
            <w:r>
              <w:rPr>
                <w:rFonts w:eastAsia="Times New Roman" w:cs="Arial"/>
                <w:lang w:eastAsia="en-GB"/>
              </w:rPr>
              <w:t xml:space="preserve">PowerPoint </w:t>
            </w:r>
            <w:r w:rsidR="00175319">
              <w:rPr>
                <w:rFonts w:eastAsia="Times New Roman" w:cs="Arial"/>
                <w:lang w:eastAsia="en-GB"/>
              </w:rPr>
              <w:t xml:space="preserve">to support </w:t>
            </w:r>
            <w:r w:rsidR="00737943">
              <w:rPr>
                <w:rFonts w:eastAsia="Times New Roman" w:cs="Arial"/>
                <w:lang w:eastAsia="en-GB"/>
              </w:rPr>
              <w:t xml:space="preserve">the </w:t>
            </w:r>
            <w:r w:rsidR="00175319">
              <w:rPr>
                <w:rFonts w:eastAsia="Times New Roman" w:cs="Arial"/>
                <w:lang w:eastAsia="en-GB"/>
              </w:rPr>
              <w:t>lesson plan</w:t>
            </w:r>
            <w:r w:rsidR="00737943">
              <w:rPr>
                <w:rFonts w:eastAsia="Times New Roman" w:cs="Arial"/>
                <w:lang w:eastAsia="en-GB"/>
              </w:rPr>
              <w:t>s</w:t>
            </w:r>
          </w:p>
        </w:tc>
        <w:tc>
          <w:tcPr>
            <w:tcW w:w="2410" w:type="dxa"/>
          </w:tcPr>
          <w:p w14:paraId="154CBBB1" w14:textId="03F4E9A1" w:rsidR="00A17AE9" w:rsidRDefault="00175319" w:rsidP="00FD175C">
            <w:pPr>
              <w:textAlignment w:val="baseline"/>
              <w:rPr>
                <w:rFonts w:eastAsia="Times New Roman" w:cs="Arial"/>
                <w:lang w:eastAsia="en-GB"/>
              </w:rPr>
            </w:pPr>
            <w:r>
              <w:rPr>
                <w:rFonts w:eastAsia="Times New Roman" w:cs="Arial"/>
                <w:lang w:eastAsia="en-GB"/>
              </w:rPr>
              <w:t>1</w:t>
            </w:r>
          </w:p>
        </w:tc>
      </w:tr>
    </w:tbl>
    <w:p w14:paraId="594F5B1D" w14:textId="77777777" w:rsidR="00FD175C" w:rsidRDefault="00FD175C" w:rsidP="0078454B">
      <w:pPr>
        <w:textAlignment w:val="baseline"/>
        <w:rPr>
          <w:rFonts w:eastAsia="Times New Roman" w:cs="Arial"/>
          <w:lang w:eastAsia="en-GB"/>
        </w:rPr>
      </w:pPr>
    </w:p>
    <w:p w14:paraId="51FB622A" w14:textId="77777777" w:rsidR="00FD6B40" w:rsidRDefault="00FD6B40" w:rsidP="0078454B">
      <w:pPr>
        <w:textAlignment w:val="baseline"/>
        <w:rPr>
          <w:rFonts w:eastAsia="Times New Roman" w:cs="Arial"/>
          <w:lang w:eastAsia="en-GB"/>
        </w:rPr>
      </w:pPr>
    </w:p>
    <w:p w14:paraId="6B2474DD" w14:textId="77777777" w:rsidR="0078454B" w:rsidRPr="00AB18F0" w:rsidRDefault="0078454B" w:rsidP="0078454B">
      <w:pPr>
        <w:textAlignment w:val="baseline"/>
        <w:rPr>
          <w:rFonts w:ascii="Segoe UI" w:eastAsia="Times New Roman" w:hAnsi="Segoe UI" w:cs="Segoe UI"/>
          <w:sz w:val="18"/>
          <w:szCs w:val="18"/>
          <w:lang w:eastAsia="en-GB"/>
        </w:rPr>
      </w:pPr>
    </w:p>
    <w:p w14:paraId="52B92AA2" w14:textId="77777777" w:rsidR="00BB11F6" w:rsidRDefault="00BB11F6" w:rsidP="00BB11F6">
      <w:pPr>
        <w:pStyle w:val="Heading1"/>
      </w:pPr>
    </w:p>
    <w:sectPr w:rsidR="00BB11F6"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B1627" w14:textId="77777777" w:rsidR="009D15AC" w:rsidRDefault="009D15AC" w:rsidP="002B439B">
      <w:r>
        <w:separator/>
      </w:r>
    </w:p>
  </w:endnote>
  <w:endnote w:type="continuationSeparator" w:id="0">
    <w:p w14:paraId="4CA286A3" w14:textId="77777777" w:rsidR="009D15AC" w:rsidRDefault="009D15AC"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ryant Regular">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FF78E" w14:textId="77777777" w:rsidR="009D15AC" w:rsidRDefault="009D15AC" w:rsidP="002B439B">
      <w:r>
        <w:separator/>
      </w:r>
    </w:p>
  </w:footnote>
  <w:footnote w:type="continuationSeparator" w:id="0">
    <w:p w14:paraId="0EE624DC" w14:textId="77777777" w:rsidR="009D15AC" w:rsidRDefault="009D15AC"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163B"/>
    <w:multiLevelType w:val="multilevel"/>
    <w:tmpl w:val="18B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0"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1"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474A49"/>
    <w:multiLevelType w:val="multilevel"/>
    <w:tmpl w:val="17043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4657502">
    <w:abstractNumId w:val="20"/>
  </w:num>
  <w:num w:numId="2" w16cid:durableId="268702522">
    <w:abstractNumId w:val="11"/>
  </w:num>
  <w:num w:numId="3" w16cid:durableId="1258833042">
    <w:abstractNumId w:val="24"/>
  </w:num>
  <w:num w:numId="4" w16cid:durableId="571239899">
    <w:abstractNumId w:val="18"/>
  </w:num>
  <w:num w:numId="5" w16cid:durableId="360982869">
    <w:abstractNumId w:val="17"/>
  </w:num>
  <w:num w:numId="6" w16cid:durableId="2046715611">
    <w:abstractNumId w:val="7"/>
  </w:num>
  <w:num w:numId="7" w16cid:durableId="1307511340">
    <w:abstractNumId w:val="12"/>
  </w:num>
  <w:num w:numId="8" w16cid:durableId="2046830829">
    <w:abstractNumId w:val="22"/>
  </w:num>
  <w:num w:numId="9" w16cid:durableId="842665330">
    <w:abstractNumId w:val="31"/>
  </w:num>
  <w:num w:numId="10" w16cid:durableId="96676490">
    <w:abstractNumId w:val="4"/>
  </w:num>
  <w:num w:numId="11" w16cid:durableId="1915428124">
    <w:abstractNumId w:val="0"/>
  </w:num>
  <w:num w:numId="12" w16cid:durableId="2003509527">
    <w:abstractNumId w:val="30"/>
  </w:num>
  <w:num w:numId="13" w16cid:durableId="2035036047">
    <w:abstractNumId w:val="13"/>
  </w:num>
  <w:num w:numId="14" w16cid:durableId="1432627918">
    <w:abstractNumId w:val="19"/>
  </w:num>
  <w:num w:numId="15" w16cid:durableId="607198898">
    <w:abstractNumId w:val="10"/>
  </w:num>
  <w:num w:numId="16" w16cid:durableId="841091994">
    <w:abstractNumId w:val="3"/>
  </w:num>
  <w:num w:numId="17" w16cid:durableId="923759010">
    <w:abstractNumId w:val="1"/>
  </w:num>
  <w:num w:numId="18" w16cid:durableId="381101390">
    <w:abstractNumId w:val="29"/>
  </w:num>
  <w:num w:numId="19" w16cid:durableId="1392315478">
    <w:abstractNumId w:val="26"/>
  </w:num>
  <w:num w:numId="20" w16cid:durableId="1590506958">
    <w:abstractNumId w:val="9"/>
  </w:num>
  <w:num w:numId="21" w16cid:durableId="1708141270">
    <w:abstractNumId w:val="6"/>
  </w:num>
  <w:num w:numId="22" w16cid:durableId="73626742">
    <w:abstractNumId w:val="5"/>
  </w:num>
  <w:num w:numId="23" w16cid:durableId="959453851">
    <w:abstractNumId w:val="28"/>
  </w:num>
  <w:num w:numId="24" w16cid:durableId="269970014">
    <w:abstractNumId w:val="23"/>
  </w:num>
  <w:num w:numId="25" w16cid:durableId="1490753154">
    <w:abstractNumId w:val="15"/>
  </w:num>
  <w:num w:numId="26" w16cid:durableId="501941176">
    <w:abstractNumId w:val="27"/>
  </w:num>
  <w:num w:numId="27" w16cid:durableId="926302150">
    <w:abstractNumId w:val="14"/>
  </w:num>
  <w:num w:numId="28" w16cid:durableId="1783915824">
    <w:abstractNumId w:val="8"/>
  </w:num>
  <w:num w:numId="29" w16cid:durableId="1476606943">
    <w:abstractNumId w:val="21"/>
  </w:num>
  <w:num w:numId="30" w16cid:durableId="1996957236">
    <w:abstractNumId w:val="16"/>
  </w:num>
  <w:num w:numId="31" w16cid:durableId="1944192101">
    <w:abstractNumId w:val="25"/>
  </w:num>
  <w:num w:numId="32" w16cid:durableId="1825930036">
    <w:abstractNumId w:val="2"/>
  </w:num>
  <w:num w:numId="33" w16cid:durableId="11167507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24E7A"/>
    <w:rsid w:val="0003293F"/>
    <w:rsid w:val="000377C7"/>
    <w:rsid w:val="00037C74"/>
    <w:rsid w:val="0005625B"/>
    <w:rsid w:val="00062CEB"/>
    <w:rsid w:val="00063A09"/>
    <w:rsid w:val="00063FE5"/>
    <w:rsid w:val="0006798F"/>
    <w:rsid w:val="00070B6E"/>
    <w:rsid w:val="000719DC"/>
    <w:rsid w:val="00081F07"/>
    <w:rsid w:val="00084282"/>
    <w:rsid w:val="00086C73"/>
    <w:rsid w:val="000D4387"/>
    <w:rsid w:val="000D4897"/>
    <w:rsid w:val="000E0EEE"/>
    <w:rsid w:val="000F3FD9"/>
    <w:rsid w:val="000F53C4"/>
    <w:rsid w:val="000F69C1"/>
    <w:rsid w:val="00105018"/>
    <w:rsid w:val="00112D0F"/>
    <w:rsid w:val="001213E8"/>
    <w:rsid w:val="001224CC"/>
    <w:rsid w:val="00132721"/>
    <w:rsid w:val="001352A1"/>
    <w:rsid w:val="00140F4C"/>
    <w:rsid w:val="00144FBC"/>
    <w:rsid w:val="00151D50"/>
    <w:rsid w:val="00152228"/>
    <w:rsid w:val="001527F3"/>
    <w:rsid w:val="00154BCF"/>
    <w:rsid w:val="00167E9E"/>
    <w:rsid w:val="0017225E"/>
    <w:rsid w:val="00175319"/>
    <w:rsid w:val="001A0652"/>
    <w:rsid w:val="001A539D"/>
    <w:rsid w:val="001A5ADD"/>
    <w:rsid w:val="001B0E67"/>
    <w:rsid w:val="001B0F8A"/>
    <w:rsid w:val="001B714B"/>
    <w:rsid w:val="001C33E3"/>
    <w:rsid w:val="001C76F0"/>
    <w:rsid w:val="001D1515"/>
    <w:rsid w:val="001E535C"/>
    <w:rsid w:val="001F4CED"/>
    <w:rsid w:val="001F6E75"/>
    <w:rsid w:val="00202C83"/>
    <w:rsid w:val="00210CCE"/>
    <w:rsid w:val="002168E3"/>
    <w:rsid w:val="0023097A"/>
    <w:rsid w:val="00230A76"/>
    <w:rsid w:val="00230BAF"/>
    <w:rsid w:val="002403D7"/>
    <w:rsid w:val="00252D6A"/>
    <w:rsid w:val="00254715"/>
    <w:rsid w:val="00256AFD"/>
    <w:rsid w:val="00263C45"/>
    <w:rsid w:val="002649CD"/>
    <w:rsid w:val="00275048"/>
    <w:rsid w:val="00280B3F"/>
    <w:rsid w:val="00282B1A"/>
    <w:rsid w:val="002864C1"/>
    <w:rsid w:val="002A0982"/>
    <w:rsid w:val="002B267F"/>
    <w:rsid w:val="002B439B"/>
    <w:rsid w:val="002C4E3E"/>
    <w:rsid w:val="002D331D"/>
    <w:rsid w:val="002E1490"/>
    <w:rsid w:val="002E241B"/>
    <w:rsid w:val="002E64AE"/>
    <w:rsid w:val="002F06C7"/>
    <w:rsid w:val="002F5A79"/>
    <w:rsid w:val="003149C5"/>
    <w:rsid w:val="00316334"/>
    <w:rsid w:val="00317329"/>
    <w:rsid w:val="00317434"/>
    <w:rsid w:val="00324582"/>
    <w:rsid w:val="00325F63"/>
    <w:rsid w:val="00327C05"/>
    <w:rsid w:val="00332B65"/>
    <w:rsid w:val="0034085E"/>
    <w:rsid w:val="00345AB1"/>
    <w:rsid w:val="00347985"/>
    <w:rsid w:val="00355EA8"/>
    <w:rsid w:val="0035779F"/>
    <w:rsid w:val="00362D34"/>
    <w:rsid w:val="00375DFE"/>
    <w:rsid w:val="003A2562"/>
    <w:rsid w:val="003B24B5"/>
    <w:rsid w:val="003C12AD"/>
    <w:rsid w:val="003C46C8"/>
    <w:rsid w:val="003C4C84"/>
    <w:rsid w:val="003C4D65"/>
    <w:rsid w:val="003E1658"/>
    <w:rsid w:val="003E3EED"/>
    <w:rsid w:val="003E6B10"/>
    <w:rsid w:val="00402651"/>
    <w:rsid w:val="0040273B"/>
    <w:rsid w:val="00413F3A"/>
    <w:rsid w:val="00417129"/>
    <w:rsid w:val="00421A77"/>
    <w:rsid w:val="00427953"/>
    <w:rsid w:val="00435249"/>
    <w:rsid w:val="0043530B"/>
    <w:rsid w:val="00441B5B"/>
    <w:rsid w:val="00442C82"/>
    <w:rsid w:val="00443184"/>
    <w:rsid w:val="00446B72"/>
    <w:rsid w:val="00460625"/>
    <w:rsid w:val="00462AAF"/>
    <w:rsid w:val="00463CBA"/>
    <w:rsid w:val="004644F3"/>
    <w:rsid w:val="0046498E"/>
    <w:rsid w:val="00483C23"/>
    <w:rsid w:val="00484798"/>
    <w:rsid w:val="00484C5C"/>
    <w:rsid w:val="00486C3B"/>
    <w:rsid w:val="00495889"/>
    <w:rsid w:val="00497E59"/>
    <w:rsid w:val="004A052F"/>
    <w:rsid w:val="004A0678"/>
    <w:rsid w:val="004A29E5"/>
    <w:rsid w:val="004A62A3"/>
    <w:rsid w:val="004C1CBF"/>
    <w:rsid w:val="004C5B87"/>
    <w:rsid w:val="004D055D"/>
    <w:rsid w:val="004D51E0"/>
    <w:rsid w:val="004D58A1"/>
    <w:rsid w:val="004E6C2D"/>
    <w:rsid w:val="004F5E81"/>
    <w:rsid w:val="00500AD3"/>
    <w:rsid w:val="00507B35"/>
    <w:rsid w:val="005243AA"/>
    <w:rsid w:val="005259C7"/>
    <w:rsid w:val="005458AF"/>
    <w:rsid w:val="005706B0"/>
    <w:rsid w:val="00574CE1"/>
    <w:rsid w:val="005822BA"/>
    <w:rsid w:val="005836CE"/>
    <w:rsid w:val="00593EE7"/>
    <w:rsid w:val="005945E3"/>
    <w:rsid w:val="005968D0"/>
    <w:rsid w:val="00597E44"/>
    <w:rsid w:val="005A6648"/>
    <w:rsid w:val="005A7BB3"/>
    <w:rsid w:val="005C2463"/>
    <w:rsid w:val="005C468A"/>
    <w:rsid w:val="005D3834"/>
    <w:rsid w:val="005E035B"/>
    <w:rsid w:val="005E19E2"/>
    <w:rsid w:val="005F46B7"/>
    <w:rsid w:val="0060302C"/>
    <w:rsid w:val="00605EE0"/>
    <w:rsid w:val="0060717E"/>
    <w:rsid w:val="00613045"/>
    <w:rsid w:val="00622D5D"/>
    <w:rsid w:val="00633BB0"/>
    <w:rsid w:val="0065466B"/>
    <w:rsid w:val="00657693"/>
    <w:rsid w:val="00670222"/>
    <w:rsid w:val="00670789"/>
    <w:rsid w:val="0067341F"/>
    <w:rsid w:val="00674340"/>
    <w:rsid w:val="00691442"/>
    <w:rsid w:val="006926E1"/>
    <w:rsid w:val="006A3F5B"/>
    <w:rsid w:val="006A4A36"/>
    <w:rsid w:val="006B28BE"/>
    <w:rsid w:val="006C73AD"/>
    <w:rsid w:val="006D2578"/>
    <w:rsid w:val="006D27C0"/>
    <w:rsid w:val="006E2B11"/>
    <w:rsid w:val="006F2D00"/>
    <w:rsid w:val="0070753E"/>
    <w:rsid w:val="0072155F"/>
    <w:rsid w:val="00726B1A"/>
    <w:rsid w:val="007311E7"/>
    <w:rsid w:val="0073583D"/>
    <w:rsid w:val="00737943"/>
    <w:rsid w:val="00741472"/>
    <w:rsid w:val="00747EB7"/>
    <w:rsid w:val="00765C52"/>
    <w:rsid w:val="007710D0"/>
    <w:rsid w:val="00775E6E"/>
    <w:rsid w:val="007762B1"/>
    <w:rsid w:val="007801BE"/>
    <w:rsid w:val="0078454B"/>
    <w:rsid w:val="0079187B"/>
    <w:rsid w:val="00791F40"/>
    <w:rsid w:val="00792EE7"/>
    <w:rsid w:val="00794345"/>
    <w:rsid w:val="0079747B"/>
    <w:rsid w:val="007C469C"/>
    <w:rsid w:val="007C4F87"/>
    <w:rsid w:val="007D711E"/>
    <w:rsid w:val="007E4675"/>
    <w:rsid w:val="007E6FC2"/>
    <w:rsid w:val="007F048F"/>
    <w:rsid w:val="007F4B50"/>
    <w:rsid w:val="00800DE7"/>
    <w:rsid w:val="00804736"/>
    <w:rsid w:val="00806281"/>
    <w:rsid w:val="00807DE9"/>
    <w:rsid w:val="0081207B"/>
    <w:rsid w:val="00825C69"/>
    <w:rsid w:val="008349FC"/>
    <w:rsid w:val="008477B3"/>
    <w:rsid w:val="008508F6"/>
    <w:rsid w:val="00852651"/>
    <w:rsid w:val="00861426"/>
    <w:rsid w:val="00862D4B"/>
    <w:rsid w:val="00864F57"/>
    <w:rsid w:val="00867D01"/>
    <w:rsid w:val="008767F6"/>
    <w:rsid w:val="008934F6"/>
    <w:rsid w:val="008A1FA2"/>
    <w:rsid w:val="008B4D66"/>
    <w:rsid w:val="008B71CC"/>
    <w:rsid w:val="008F439C"/>
    <w:rsid w:val="00910A2E"/>
    <w:rsid w:val="00914A53"/>
    <w:rsid w:val="0094092B"/>
    <w:rsid w:val="009409FC"/>
    <w:rsid w:val="00944CE0"/>
    <w:rsid w:val="009509C7"/>
    <w:rsid w:val="009628B8"/>
    <w:rsid w:val="00966F33"/>
    <w:rsid w:val="00967C75"/>
    <w:rsid w:val="00971565"/>
    <w:rsid w:val="0098523C"/>
    <w:rsid w:val="00991972"/>
    <w:rsid w:val="009936AD"/>
    <w:rsid w:val="00994E1A"/>
    <w:rsid w:val="009A388F"/>
    <w:rsid w:val="009A7181"/>
    <w:rsid w:val="009C1253"/>
    <w:rsid w:val="009C4038"/>
    <w:rsid w:val="009C72FC"/>
    <w:rsid w:val="009D15AC"/>
    <w:rsid w:val="009D6A0F"/>
    <w:rsid w:val="009E15FB"/>
    <w:rsid w:val="009E3470"/>
    <w:rsid w:val="009E4691"/>
    <w:rsid w:val="009E70B0"/>
    <w:rsid w:val="009F066C"/>
    <w:rsid w:val="00A005F0"/>
    <w:rsid w:val="00A0183D"/>
    <w:rsid w:val="00A02682"/>
    <w:rsid w:val="00A049C6"/>
    <w:rsid w:val="00A06926"/>
    <w:rsid w:val="00A105AD"/>
    <w:rsid w:val="00A17AE9"/>
    <w:rsid w:val="00A275FA"/>
    <w:rsid w:val="00A345E9"/>
    <w:rsid w:val="00A56B41"/>
    <w:rsid w:val="00A5732A"/>
    <w:rsid w:val="00A613D0"/>
    <w:rsid w:val="00A70411"/>
    <w:rsid w:val="00A72784"/>
    <w:rsid w:val="00A761C5"/>
    <w:rsid w:val="00A86C52"/>
    <w:rsid w:val="00A94205"/>
    <w:rsid w:val="00A9572C"/>
    <w:rsid w:val="00AB48F8"/>
    <w:rsid w:val="00AD3CE0"/>
    <w:rsid w:val="00AE5230"/>
    <w:rsid w:val="00AE5CE8"/>
    <w:rsid w:val="00AF0EA9"/>
    <w:rsid w:val="00AF3364"/>
    <w:rsid w:val="00AF538E"/>
    <w:rsid w:val="00AF7C13"/>
    <w:rsid w:val="00B20C05"/>
    <w:rsid w:val="00B231BF"/>
    <w:rsid w:val="00B353F1"/>
    <w:rsid w:val="00B4732A"/>
    <w:rsid w:val="00B47A57"/>
    <w:rsid w:val="00B524DA"/>
    <w:rsid w:val="00B633F8"/>
    <w:rsid w:val="00B65DB7"/>
    <w:rsid w:val="00B72AD5"/>
    <w:rsid w:val="00B77743"/>
    <w:rsid w:val="00B8101B"/>
    <w:rsid w:val="00B84519"/>
    <w:rsid w:val="00B87313"/>
    <w:rsid w:val="00B87B93"/>
    <w:rsid w:val="00BA19AD"/>
    <w:rsid w:val="00BB11F6"/>
    <w:rsid w:val="00BC54A3"/>
    <w:rsid w:val="00BC79B5"/>
    <w:rsid w:val="00BF351A"/>
    <w:rsid w:val="00BF78CD"/>
    <w:rsid w:val="00C011E5"/>
    <w:rsid w:val="00C141D8"/>
    <w:rsid w:val="00C17A1B"/>
    <w:rsid w:val="00C25418"/>
    <w:rsid w:val="00C32E80"/>
    <w:rsid w:val="00C36BE3"/>
    <w:rsid w:val="00C43083"/>
    <w:rsid w:val="00C46294"/>
    <w:rsid w:val="00C47993"/>
    <w:rsid w:val="00C47CD7"/>
    <w:rsid w:val="00C57110"/>
    <w:rsid w:val="00C66CD0"/>
    <w:rsid w:val="00C671B5"/>
    <w:rsid w:val="00C72AFE"/>
    <w:rsid w:val="00C73769"/>
    <w:rsid w:val="00C77857"/>
    <w:rsid w:val="00C80D48"/>
    <w:rsid w:val="00C81F19"/>
    <w:rsid w:val="00C84EAA"/>
    <w:rsid w:val="00CA7865"/>
    <w:rsid w:val="00CB43C4"/>
    <w:rsid w:val="00CB5BD0"/>
    <w:rsid w:val="00CB5FF9"/>
    <w:rsid w:val="00CC07E3"/>
    <w:rsid w:val="00CC0D34"/>
    <w:rsid w:val="00CC3773"/>
    <w:rsid w:val="00CC492B"/>
    <w:rsid w:val="00D0133B"/>
    <w:rsid w:val="00D01B5D"/>
    <w:rsid w:val="00D225BB"/>
    <w:rsid w:val="00D22A28"/>
    <w:rsid w:val="00D33CF3"/>
    <w:rsid w:val="00D53DFA"/>
    <w:rsid w:val="00D5434A"/>
    <w:rsid w:val="00D723D3"/>
    <w:rsid w:val="00D76565"/>
    <w:rsid w:val="00D85015"/>
    <w:rsid w:val="00DA1A9A"/>
    <w:rsid w:val="00DA77DD"/>
    <w:rsid w:val="00DB3E4C"/>
    <w:rsid w:val="00DB6F10"/>
    <w:rsid w:val="00DB756D"/>
    <w:rsid w:val="00DC78BD"/>
    <w:rsid w:val="00DD17F7"/>
    <w:rsid w:val="00DD5410"/>
    <w:rsid w:val="00DD541B"/>
    <w:rsid w:val="00DD5677"/>
    <w:rsid w:val="00DE5478"/>
    <w:rsid w:val="00DE7A19"/>
    <w:rsid w:val="00DF18E6"/>
    <w:rsid w:val="00DF5BA8"/>
    <w:rsid w:val="00E029DE"/>
    <w:rsid w:val="00E03BE4"/>
    <w:rsid w:val="00E048D0"/>
    <w:rsid w:val="00E16520"/>
    <w:rsid w:val="00E168FA"/>
    <w:rsid w:val="00E24E7D"/>
    <w:rsid w:val="00E40C55"/>
    <w:rsid w:val="00E45916"/>
    <w:rsid w:val="00E46584"/>
    <w:rsid w:val="00E522A6"/>
    <w:rsid w:val="00E533FA"/>
    <w:rsid w:val="00E6310F"/>
    <w:rsid w:val="00E73F35"/>
    <w:rsid w:val="00E773AF"/>
    <w:rsid w:val="00E81255"/>
    <w:rsid w:val="00E854AC"/>
    <w:rsid w:val="00E91185"/>
    <w:rsid w:val="00E91C10"/>
    <w:rsid w:val="00EA05C1"/>
    <w:rsid w:val="00EA0BA0"/>
    <w:rsid w:val="00EA5426"/>
    <w:rsid w:val="00EB5FCE"/>
    <w:rsid w:val="00EC74D0"/>
    <w:rsid w:val="00ED305E"/>
    <w:rsid w:val="00EE124A"/>
    <w:rsid w:val="00EE3C87"/>
    <w:rsid w:val="00EE405B"/>
    <w:rsid w:val="00EF4E89"/>
    <w:rsid w:val="00F05E25"/>
    <w:rsid w:val="00F1386A"/>
    <w:rsid w:val="00F150B2"/>
    <w:rsid w:val="00F2786B"/>
    <w:rsid w:val="00F331D0"/>
    <w:rsid w:val="00F370C5"/>
    <w:rsid w:val="00F62F97"/>
    <w:rsid w:val="00F635D0"/>
    <w:rsid w:val="00F66042"/>
    <w:rsid w:val="00F70B77"/>
    <w:rsid w:val="00F72FEF"/>
    <w:rsid w:val="00F81CC2"/>
    <w:rsid w:val="00F84A8F"/>
    <w:rsid w:val="00F85F41"/>
    <w:rsid w:val="00F93948"/>
    <w:rsid w:val="00F971BF"/>
    <w:rsid w:val="00FA0B6C"/>
    <w:rsid w:val="00FA3AD8"/>
    <w:rsid w:val="00FA5ABB"/>
    <w:rsid w:val="00FA6B1E"/>
    <w:rsid w:val="00FB3D5B"/>
    <w:rsid w:val="00FB735B"/>
    <w:rsid w:val="00FC71F8"/>
    <w:rsid w:val="00FC769E"/>
    <w:rsid w:val="00FD175C"/>
    <w:rsid w:val="00FD6B40"/>
    <w:rsid w:val="00FD6EDE"/>
    <w:rsid w:val="00FE10CA"/>
    <w:rsid w:val="00FE1E54"/>
    <w:rsid w:val="00FF081B"/>
    <w:rsid w:val="00FF676A"/>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0915E7B"/>
    <w:rsid w:val="72A4D983"/>
    <w:rsid w:val="747C16E9"/>
    <w:rsid w:val="75248BE5"/>
    <w:rsid w:val="761B0DA8"/>
    <w:rsid w:val="7713C7CE"/>
    <w:rsid w:val="793A8DBF"/>
    <w:rsid w:val="79873E75"/>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customStyle="1" w:styleId="normaltextrun">
    <w:name w:val="normaltextrun"/>
    <w:basedOn w:val="DefaultParagraphFont"/>
    <w:rsid w:val="00CC3773"/>
  </w:style>
  <w:style w:type="character" w:customStyle="1" w:styleId="eop">
    <w:name w:val="eop"/>
    <w:basedOn w:val="DefaultParagraphFont"/>
    <w:rsid w:val="00794345"/>
  </w:style>
  <w:style w:type="paragraph" w:customStyle="1" w:styleId="paragraph">
    <w:name w:val="paragraph"/>
    <w:basedOn w:val="Normal"/>
    <w:rsid w:val="0079434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E39C7015-9FF2-41BA-A4A9-B202E825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3.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Hannah Colford</cp:lastModifiedBy>
  <cp:revision>22</cp:revision>
  <dcterms:created xsi:type="dcterms:W3CDTF">2024-06-14T07:44:00Z</dcterms:created>
  <dcterms:modified xsi:type="dcterms:W3CDTF">2024-07-24T08:36:00Z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