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6B1AAD1E" w:rsidR="00154BCF" w:rsidRDefault="00377E57">
      <w:pPr>
        <w:rPr>
          <w:b/>
          <w:bCs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1B3F307" wp14:editId="3E5016D3">
            <wp:simplePos x="0" y="0"/>
            <wp:positionH relativeFrom="margin">
              <wp:align>right</wp:align>
            </wp:positionH>
            <wp:positionV relativeFrom="paragraph">
              <wp:posOffset>-480060</wp:posOffset>
            </wp:positionV>
            <wp:extent cx="2333625" cy="793750"/>
            <wp:effectExtent l="0" t="0" r="9525" b="0"/>
            <wp:wrapNone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93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F33"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6CFF0019">
            <wp:simplePos x="0" y="0"/>
            <wp:positionH relativeFrom="margin">
              <wp:align>left</wp:align>
            </wp:positionH>
            <wp:positionV relativeFrom="paragraph">
              <wp:posOffset>-482600</wp:posOffset>
            </wp:positionV>
            <wp:extent cx="1551114" cy="820800"/>
            <wp:effectExtent l="0" t="0" r="0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114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1D944F1C" w:rsidR="00D0133B" w:rsidRDefault="00D0133B">
      <w:pPr>
        <w:rPr>
          <w:b/>
          <w:bCs/>
          <w:sz w:val="36"/>
          <w:szCs w:val="36"/>
        </w:rPr>
      </w:pPr>
    </w:p>
    <w:p w14:paraId="40C59AC2" w14:textId="6F42D6A3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4F50D57B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A23080">
        <w:rPr>
          <w:rFonts w:cs="Arial"/>
          <w:b/>
          <w:bCs/>
          <w:sz w:val="28"/>
          <w:szCs w:val="28"/>
        </w:rPr>
        <w:t>3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4AA4F045" w:rsidR="0078454B" w:rsidRDefault="00345AB1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</w:t>
      </w:r>
      <w:r w:rsidR="001C33E3" w:rsidRPr="003D3B74">
        <w:rPr>
          <w:rFonts w:cs="Arial"/>
          <w:b/>
          <w:bCs/>
          <w:sz w:val="28"/>
          <w:szCs w:val="28"/>
        </w:rPr>
        <w:t xml:space="preserve">aterials to support the development of </w:t>
      </w:r>
      <w:r w:rsidR="00EE5F7C">
        <w:rPr>
          <w:rFonts w:cs="Arial"/>
          <w:b/>
          <w:bCs/>
          <w:sz w:val="28"/>
          <w:szCs w:val="28"/>
        </w:rPr>
        <w:t xml:space="preserve">the </w:t>
      </w:r>
      <w:r w:rsidR="001C33E3" w:rsidRPr="003D3B74">
        <w:rPr>
          <w:rFonts w:cs="Arial"/>
          <w:b/>
          <w:bCs/>
          <w:sz w:val="28"/>
          <w:szCs w:val="28"/>
        </w:rPr>
        <w:t>Core Skill</w:t>
      </w:r>
      <w:r w:rsidR="005243AA">
        <w:rPr>
          <w:rFonts w:cs="Arial"/>
          <w:b/>
          <w:bCs/>
          <w:sz w:val="28"/>
          <w:szCs w:val="28"/>
        </w:rPr>
        <w:t xml:space="preserve"> </w:t>
      </w:r>
      <w:r w:rsidR="00EE5F7C">
        <w:rPr>
          <w:rFonts w:cs="Arial"/>
          <w:b/>
          <w:bCs/>
          <w:sz w:val="28"/>
          <w:szCs w:val="28"/>
        </w:rPr>
        <w:t xml:space="preserve">of </w:t>
      </w:r>
      <w:r w:rsidR="007B3505">
        <w:rPr>
          <w:rFonts w:cs="Arial"/>
          <w:b/>
          <w:bCs/>
          <w:sz w:val="28"/>
          <w:szCs w:val="28"/>
        </w:rPr>
        <w:t>Presenting</w:t>
      </w:r>
      <w:r w:rsidR="00EE5F7C">
        <w:rPr>
          <w:rFonts w:cs="Arial"/>
          <w:b/>
          <w:bCs/>
          <w:sz w:val="28"/>
          <w:szCs w:val="28"/>
        </w:rPr>
        <w:t xml:space="preserve"> </w:t>
      </w:r>
      <w:r w:rsidR="00CF72A8">
        <w:rPr>
          <w:rFonts w:cs="Arial"/>
          <w:b/>
          <w:bCs/>
          <w:sz w:val="28"/>
          <w:szCs w:val="28"/>
        </w:rPr>
        <w:t xml:space="preserve">for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 xml:space="preserve">in </w:t>
      </w:r>
      <w:r w:rsidR="00F66A39">
        <w:rPr>
          <w:rFonts w:cs="Arial"/>
          <w:b/>
          <w:bCs/>
          <w:sz w:val="28"/>
          <w:szCs w:val="28"/>
        </w:rPr>
        <w:t>Health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1A5F12B3" w:rsidR="0078454B" w:rsidRDefault="00C77CE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>
        <w:rPr>
          <w:rFonts w:cs="Arial"/>
        </w:rPr>
        <w:t xml:space="preserve">has produced a range of learning materials, developed </w:t>
      </w:r>
      <w:r w:rsidRPr="00AB18F0">
        <w:rPr>
          <w:rFonts w:cs="Arial"/>
        </w:rPr>
        <w:t>and peer reviewed</w:t>
      </w:r>
      <w:r>
        <w:rPr>
          <w:rFonts w:cs="Arial"/>
        </w:rPr>
        <w:t xml:space="preserve"> by experienced T Level providers. </w:t>
      </w:r>
      <w:r w:rsidR="00C81F19">
        <w:rPr>
          <w:rFonts w:cs="Arial"/>
        </w:rPr>
        <w:t xml:space="preserve">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</w:t>
      </w:r>
      <w:r w:rsidR="004D0A23">
        <w:rPr>
          <w:rFonts w:cs="Arial"/>
        </w:rPr>
        <w:t xml:space="preserve"> the</w:t>
      </w:r>
      <w:r w:rsidR="0006798F">
        <w:rPr>
          <w:rFonts w:cs="Arial"/>
        </w:rPr>
        <w:t xml:space="preserve"> </w:t>
      </w:r>
      <w:r w:rsidR="000F69C1">
        <w:rPr>
          <w:rFonts w:cs="Arial"/>
        </w:rPr>
        <w:t>C</w:t>
      </w:r>
      <w:r w:rsidR="00DA1A9A">
        <w:rPr>
          <w:rFonts w:cs="Arial"/>
        </w:rPr>
        <w:t xml:space="preserve">ore </w:t>
      </w:r>
      <w:r w:rsidR="000F69C1">
        <w:rPr>
          <w:rFonts w:cs="Arial"/>
        </w:rPr>
        <w:t>S</w:t>
      </w:r>
      <w:r w:rsidR="00DA1A9A">
        <w:rPr>
          <w:rFonts w:cs="Arial"/>
        </w:rPr>
        <w:t xml:space="preserve">kill </w:t>
      </w:r>
      <w:r w:rsidR="004D0A23">
        <w:rPr>
          <w:rFonts w:cs="Arial"/>
        </w:rPr>
        <w:t xml:space="preserve">of </w:t>
      </w:r>
      <w:r w:rsidR="00F27E8C">
        <w:rPr>
          <w:rFonts w:cs="Arial"/>
        </w:rPr>
        <w:t xml:space="preserve">Presenting </w:t>
      </w:r>
      <w:r w:rsidR="004D0A23">
        <w:rPr>
          <w:rFonts w:cs="Arial"/>
        </w:rPr>
        <w:t xml:space="preserve">for </w:t>
      </w:r>
      <w:bookmarkStart w:id="0" w:name="_Hlk167858847"/>
      <w:r w:rsidR="004D0A23">
        <w:rPr>
          <w:rFonts w:cs="Arial"/>
        </w:rPr>
        <w:t>t</w:t>
      </w:r>
      <w:r w:rsidR="0078454B" w:rsidRPr="00AB18F0">
        <w:rPr>
          <w:rFonts w:cs="Arial"/>
        </w:rPr>
        <w:t xml:space="preserve">he </w:t>
      </w:r>
      <w:r w:rsidR="00063A09" w:rsidRPr="00AB18F0">
        <w:rPr>
          <w:rFonts w:cs="Arial"/>
        </w:rPr>
        <w:t xml:space="preserve">T Level </w:t>
      </w:r>
      <w:r w:rsidR="00063A09">
        <w:rPr>
          <w:rFonts w:cs="Arial"/>
        </w:rPr>
        <w:t xml:space="preserve">in </w:t>
      </w:r>
      <w:r w:rsidR="00F27E8C">
        <w:rPr>
          <w:rFonts w:cs="Arial"/>
        </w:rPr>
        <w:t xml:space="preserve">Health.  </w:t>
      </w:r>
      <w:bookmarkEnd w:id="0"/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5B7A1C1A" w14:textId="6C36516F" w:rsidR="00A0183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DA2AD4">
        <w:rPr>
          <w:rFonts w:cs="Arial"/>
          <w:b/>
          <w:bCs/>
        </w:rPr>
        <w:t>Calderdale College</w:t>
      </w:r>
      <w:r w:rsidR="00DA2AD4">
        <w:rPr>
          <w:rFonts w:cs="Arial"/>
        </w:rPr>
        <w:t xml:space="preserve"> and peer reviewed by </w:t>
      </w:r>
      <w:r w:rsidR="00DA2AD4" w:rsidRPr="00DA2AD4">
        <w:rPr>
          <w:rFonts w:cs="Arial"/>
          <w:b/>
          <w:bCs/>
        </w:rPr>
        <w:t>Walsall Academy</w:t>
      </w:r>
      <w:r w:rsidR="00DA2AD4" w:rsidRPr="00DA2AD4">
        <w:rPr>
          <w:rFonts w:cs="Arial"/>
        </w:rPr>
        <w:t>,</w:t>
      </w:r>
      <w:r w:rsidRPr="000719DC">
        <w:rPr>
          <w:rFonts w:cs="Arial"/>
        </w:rPr>
        <w:t xml:space="preserve">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framework for learning,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57110">
        <w:rPr>
          <w:rFonts w:cs="Arial"/>
        </w:rPr>
        <w:t xml:space="preserve">hone and develop </w:t>
      </w:r>
      <w:r w:rsidR="00B63016">
        <w:rPr>
          <w:rFonts w:cs="Arial"/>
        </w:rPr>
        <w:t xml:space="preserve">their </w:t>
      </w:r>
      <w:r w:rsidR="00C57110">
        <w:rPr>
          <w:rFonts w:cs="Arial"/>
        </w:rPr>
        <w:t xml:space="preserve">Core Skill </w:t>
      </w:r>
      <w:r w:rsidR="00B63016">
        <w:rPr>
          <w:rFonts w:cs="Arial"/>
        </w:rPr>
        <w:t xml:space="preserve">of </w:t>
      </w:r>
      <w:r w:rsidR="006E2590">
        <w:rPr>
          <w:rFonts w:cs="Arial"/>
        </w:rPr>
        <w:t>Presenting</w:t>
      </w:r>
      <w:r w:rsidR="000F2C70">
        <w:rPr>
          <w:rFonts w:cs="Arial"/>
        </w:rPr>
        <w:t xml:space="preserve"> when </w:t>
      </w:r>
      <w:r w:rsidR="00C17A1B">
        <w:rPr>
          <w:rFonts w:cs="Arial"/>
        </w:rPr>
        <w:t xml:space="preserve">developing </w:t>
      </w:r>
      <w:r w:rsidR="005D3834">
        <w:rPr>
          <w:rFonts w:cs="Arial"/>
        </w:rPr>
        <w:t xml:space="preserve">understanding of </w:t>
      </w:r>
      <w:r w:rsidR="000F2C70">
        <w:rPr>
          <w:rFonts w:cs="Arial"/>
        </w:rPr>
        <w:t xml:space="preserve">the </w:t>
      </w:r>
      <w:r w:rsidR="005D3834">
        <w:rPr>
          <w:rFonts w:cs="Arial"/>
        </w:rPr>
        <w:t>Core Content</w:t>
      </w:r>
      <w:r w:rsidR="00D723D3">
        <w:rPr>
          <w:rFonts w:cs="Arial"/>
        </w:rPr>
        <w:t xml:space="preserve"> of </w:t>
      </w:r>
      <w:r w:rsidR="00D723D3" w:rsidRPr="00AB18F0">
        <w:rPr>
          <w:rFonts w:cs="Arial"/>
        </w:rPr>
        <w:t xml:space="preserve">the T Level </w:t>
      </w:r>
      <w:r w:rsidR="00D723D3">
        <w:rPr>
          <w:rFonts w:cs="Arial"/>
        </w:rPr>
        <w:t xml:space="preserve">in </w:t>
      </w:r>
      <w:r w:rsidR="006E2590">
        <w:rPr>
          <w:rFonts w:cs="Arial"/>
        </w:rPr>
        <w:t>Health</w:t>
      </w:r>
      <w:r w:rsidR="00D723D3">
        <w:rPr>
          <w:rFonts w:cs="Arial"/>
        </w:rPr>
        <w:t>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61C8FB8A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</w:t>
      </w:r>
      <w:r w:rsidR="000F2C70">
        <w:rPr>
          <w:rFonts w:cs="Arial"/>
        </w:rPr>
        <w:t>the development of</w:t>
      </w:r>
      <w:r w:rsidR="006E2590">
        <w:rPr>
          <w:rFonts w:cs="Arial"/>
        </w:rPr>
        <w:t xml:space="preserve"> the skills of</w:t>
      </w:r>
      <w:r w:rsidR="000F2C70">
        <w:rPr>
          <w:rFonts w:cs="Arial"/>
        </w:rPr>
        <w:t xml:space="preserve"> </w:t>
      </w:r>
      <w:r w:rsidR="006E2590">
        <w:rPr>
          <w:rFonts w:cs="Arial"/>
        </w:rPr>
        <w:t>Presenting</w:t>
      </w:r>
      <w:r w:rsidR="000F2C70">
        <w:rPr>
          <w:rFonts w:cs="Arial"/>
        </w:rPr>
        <w:t xml:space="preserve"> </w:t>
      </w:r>
      <w:r w:rsidR="007E4675">
        <w:rPr>
          <w:rFonts w:cs="Arial"/>
        </w:rPr>
        <w:t xml:space="preserve">can be </w:t>
      </w:r>
      <w:r w:rsidR="007E4675" w:rsidRPr="007E4675">
        <w:rPr>
          <w:rFonts w:cs="Arial"/>
        </w:rPr>
        <w:t xml:space="preserve">scaffolded and sequenced </w:t>
      </w:r>
    </w:p>
    <w:p w14:paraId="546BE007" w14:textId="355F9C6F" w:rsidR="007E4675" w:rsidRPr="007E4675" w:rsidRDefault="00E14FE6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11</w:t>
      </w:r>
      <w:r w:rsidR="000F3FD9">
        <w:rPr>
          <w:rFonts w:cs="Arial"/>
        </w:rPr>
        <w:t xml:space="preserve"> 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EE20B6">
        <w:rPr>
          <w:rFonts w:cs="Arial"/>
        </w:rPr>
        <w:t>more than 20</w:t>
      </w:r>
      <w:r w:rsidR="007E4675" w:rsidRPr="007E4675">
        <w:rPr>
          <w:rFonts w:cs="Arial"/>
        </w:rPr>
        <w:t xml:space="preserve"> hours of learning to support the development of </w:t>
      </w:r>
      <w:r w:rsidR="00901C11">
        <w:rPr>
          <w:rFonts w:cs="Arial"/>
        </w:rPr>
        <w:t xml:space="preserve">the </w:t>
      </w:r>
      <w:r w:rsidR="005E035B">
        <w:rPr>
          <w:rFonts w:cs="Arial"/>
        </w:rPr>
        <w:t>Core Skill</w:t>
      </w:r>
      <w:r w:rsidR="00B65DB7">
        <w:rPr>
          <w:rFonts w:cs="Arial"/>
        </w:rPr>
        <w:t xml:space="preserve"> </w:t>
      </w:r>
      <w:r w:rsidR="00901C11">
        <w:rPr>
          <w:rFonts w:cs="Arial"/>
        </w:rPr>
        <w:t xml:space="preserve">of </w:t>
      </w:r>
      <w:r w:rsidR="00EE20B6">
        <w:rPr>
          <w:rFonts w:cs="Arial"/>
        </w:rPr>
        <w:t>Presenting</w:t>
      </w:r>
      <w:r w:rsidR="00901C11">
        <w:rPr>
          <w:rFonts w:cs="Arial"/>
        </w:rPr>
        <w:t xml:space="preserve"> </w:t>
      </w:r>
      <w:r w:rsidR="005E035B">
        <w:rPr>
          <w:rFonts w:cs="Arial"/>
        </w:rPr>
        <w:t>in conjunction with Core Content</w:t>
      </w:r>
      <w:r w:rsidR="004D58A1">
        <w:rPr>
          <w:rFonts w:cs="Arial"/>
        </w:rPr>
        <w:t xml:space="preserve"> </w:t>
      </w:r>
    </w:p>
    <w:p w14:paraId="7CA4AEA5" w14:textId="61E1B9A2" w:rsidR="00C00D46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learning</w:t>
      </w:r>
      <w:r w:rsidR="00EE20B6">
        <w:rPr>
          <w:rFonts w:cs="Arial"/>
        </w:rPr>
        <w:t xml:space="preserve"> framework for learning</w:t>
      </w:r>
    </w:p>
    <w:p w14:paraId="497E3ED0" w14:textId="2B9B74B6" w:rsidR="007E4675" w:rsidRDefault="00C00D46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guidance that can be provided to learners to demonstrate how they can use their skill</w:t>
      </w:r>
      <w:r w:rsidR="00AB6B84">
        <w:rPr>
          <w:rFonts w:cs="Arial"/>
        </w:rPr>
        <w:t xml:space="preserve"> as part of the Employer-set project (ESP) assessment</w:t>
      </w:r>
      <w:r w:rsidR="00345AB1">
        <w:rPr>
          <w:rFonts w:cs="Arial"/>
        </w:rPr>
        <w:t>.</w:t>
      </w:r>
    </w:p>
    <w:p w14:paraId="00D4897A" w14:textId="77777777" w:rsidR="00BF74AB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30BE427E" w14:textId="5FF74FA6" w:rsidR="005B13CC" w:rsidRPr="005B13CC" w:rsidRDefault="005B13CC" w:rsidP="005B13CC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5B13CC">
        <w:rPr>
          <w:rFonts w:cs="Arial"/>
        </w:rPr>
        <w:t xml:space="preserve">The framework sets out one approach to scaffolding and sequencing the development of verbal presentation skills. It focuses on developing the skills needed to deliver effective presentations using non-digital and digital tools that support delivery. This resource also supports the development of verbal and non-verbal communication skills, confidence in delivering presentations, digital skills and health-related knowledge. </w:t>
      </w:r>
    </w:p>
    <w:p w14:paraId="0E09A2F5" w14:textId="77777777" w:rsidR="005B13CC" w:rsidRPr="005B13CC" w:rsidRDefault="005B13CC" w:rsidP="005B13CC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7108546E" w14:textId="5D4FA7AC" w:rsidR="005B13CC" w:rsidRDefault="005B13CC" w:rsidP="005B13CC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5B13CC">
        <w:rPr>
          <w:rFonts w:cs="Arial"/>
        </w:rPr>
        <w:t xml:space="preserve">The resource focuses on presenting information related to nursing, but this resource could be replicated and used in a variety of healthcare settings. </w:t>
      </w:r>
      <w:r w:rsidR="004B00D3" w:rsidRPr="00183291">
        <w:rPr>
          <w:rStyle w:val="normaltextrun"/>
          <w:rFonts w:eastAsiaTheme="majorEastAsia" w:cs="Arial"/>
        </w:rPr>
        <w:t>The overall outcome of the learning from this resource is to present information effectively to specified stakeholders.</w:t>
      </w:r>
    </w:p>
    <w:p w14:paraId="7ACAA45E" w14:textId="33BE4EA1" w:rsidR="000B7B98" w:rsidRDefault="004C3924" w:rsidP="004C3924">
      <w:p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The resource has been developed for use towards the end of the delivery of the Core Content and assumes prior knowledge of a range of concepts related to nursing</w:t>
      </w:r>
      <w:r w:rsidR="000B7B98" w:rsidRPr="004C3924">
        <w:rPr>
          <w:rFonts w:eastAsia="Arial" w:cs="Arial"/>
          <w:szCs w:val="24"/>
        </w:rPr>
        <w:t>.</w:t>
      </w:r>
    </w:p>
    <w:p w14:paraId="388C61BB" w14:textId="262D0A60" w:rsidR="00D56F05" w:rsidRPr="004C3924" w:rsidRDefault="00A42F44" w:rsidP="004C3924">
      <w:pPr>
        <w:tabs>
          <w:tab w:val="left" w:pos="9645"/>
        </w:tabs>
        <w:spacing w:before="24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In addition to lesson plans for each lesson in the framework for learning there are support materials including r</w:t>
      </w:r>
      <w:r w:rsidR="00D56F05">
        <w:rPr>
          <w:rFonts w:eastAsia="Arial" w:cs="Arial"/>
          <w:szCs w:val="24"/>
        </w:rPr>
        <w:t xml:space="preserve">ole plays, </w:t>
      </w:r>
      <w:r w:rsidR="007608EF">
        <w:rPr>
          <w:rFonts w:eastAsia="Arial" w:cs="Arial"/>
          <w:szCs w:val="24"/>
        </w:rPr>
        <w:t>case studies</w:t>
      </w:r>
      <w:r>
        <w:rPr>
          <w:rFonts w:eastAsia="Arial" w:cs="Arial"/>
          <w:szCs w:val="24"/>
        </w:rPr>
        <w:t xml:space="preserve"> and</w:t>
      </w:r>
      <w:r w:rsidR="007608EF">
        <w:rPr>
          <w:rFonts w:eastAsia="Arial" w:cs="Arial"/>
          <w:szCs w:val="24"/>
        </w:rPr>
        <w:t xml:space="preserve"> documentation such as medical charts</w:t>
      </w:r>
      <w:r>
        <w:rPr>
          <w:rFonts w:eastAsia="Arial" w:cs="Arial"/>
          <w:szCs w:val="24"/>
        </w:rPr>
        <w:t>.  There are also templates</w:t>
      </w:r>
      <w:r w:rsidR="007608EF">
        <w:rPr>
          <w:rFonts w:eastAsia="Arial" w:cs="Arial"/>
          <w:szCs w:val="24"/>
        </w:rPr>
        <w:t xml:space="preserve">, </w:t>
      </w:r>
      <w:r w:rsidR="00FC6208">
        <w:rPr>
          <w:rFonts w:eastAsia="Arial" w:cs="Arial"/>
          <w:szCs w:val="24"/>
        </w:rPr>
        <w:t>for peer</w:t>
      </w:r>
      <w:r>
        <w:rPr>
          <w:rFonts w:eastAsia="Arial" w:cs="Arial"/>
          <w:szCs w:val="24"/>
        </w:rPr>
        <w:t>- and self-</w:t>
      </w:r>
      <w:r w:rsidR="00FC6208">
        <w:rPr>
          <w:rFonts w:eastAsia="Arial" w:cs="Arial"/>
          <w:szCs w:val="24"/>
        </w:rPr>
        <w:t xml:space="preserve">assessment </w:t>
      </w:r>
      <w:r>
        <w:rPr>
          <w:rFonts w:eastAsia="Arial" w:cs="Arial"/>
          <w:szCs w:val="24"/>
        </w:rPr>
        <w:t>with many of the lessons designed to encourage the use of these as part of a formative assessment strategy.</w:t>
      </w:r>
    </w:p>
    <w:p w14:paraId="4B9B09D9" w14:textId="77777777" w:rsidR="000377C7" w:rsidRDefault="000377C7" w:rsidP="00E03BE4">
      <w:pPr>
        <w:rPr>
          <w:rFonts w:cs="Arial"/>
        </w:rPr>
      </w:pPr>
    </w:p>
    <w:p w14:paraId="0B0D53A6" w14:textId="30DB9077" w:rsidR="004D51E0" w:rsidRPr="004D51E0" w:rsidRDefault="00483C23" w:rsidP="004D51E0">
      <w:r>
        <w:t>The</w:t>
      </w:r>
      <w:r w:rsidR="00FB46DE">
        <w:t>re is a</w:t>
      </w:r>
      <w:r>
        <w:t xml:space="preserve"> separate </w:t>
      </w:r>
      <w:r w:rsidR="001F54AB">
        <w:t xml:space="preserve">slide deck that can be used to support delivery of the </w:t>
      </w:r>
      <w:r w:rsidR="00852651">
        <w:t>lessons</w:t>
      </w:r>
      <w:r w:rsidR="0011524B"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7D053C10" w14:textId="36581719" w:rsidR="00535319" w:rsidRDefault="00535319" w:rsidP="005353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lastRenderedPageBreak/>
        <w:t>The framework for learning and lesson plans also cover the following General English and Digital Competencies (GECs and GDCs):</w:t>
      </w:r>
    </w:p>
    <w:p w14:paraId="4CDE28B9" w14:textId="77777777" w:rsidR="00535319" w:rsidRPr="00AB0171" w:rsidRDefault="00535319" w:rsidP="005353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01CD253E" w14:textId="77777777" w:rsidR="00535319" w:rsidRDefault="00535319" w:rsidP="00535319">
      <w:pPr>
        <w:pStyle w:val="paragraph"/>
        <w:numPr>
          <w:ilvl w:val="0"/>
          <w:numId w:val="33"/>
        </w:numPr>
        <w:spacing w:before="0" w:beforeAutospacing="0" w:after="0" w:afterAutospacing="0"/>
        <w:ind w:left="1800" w:hanging="1658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GEC1 Conveying technical information to different audiences </w:t>
      </w:r>
    </w:p>
    <w:p w14:paraId="361A5B72" w14:textId="77777777" w:rsidR="00535319" w:rsidRDefault="00535319" w:rsidP="00535319">
      <w:pPr>
        <w:pStyle w:val="paragraph"/>
        <w:numPr>
          <w:ilvl w:val="0"/>
          <w:numId w:val="33"/>
        </w:numPr>
        <w:spacing w:before="0" w:beforeAutospacing="0" w:after="0" w:afterAutospacing="0"/>
        <w:ind w:left="1800" w:hanging="1658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GDC2 Presenting information and ideas</w:t>
      </w:r>
    </w:p>
    <w:p w14:paraId="7CB313A3" w14:textId="77777777" w:rsidR="00535319" w:rsidRDefault="00535319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2CD32921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Word document including introduction, framework for learning,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6508AD">
              <w:rPr>
                <w:rFonts w:eastAsia="Times New Roman" w:cs="Arial"/>
                <w:lang w:eastAsia="en-GB"/>
              </w:rPr>
              <w:t xml:space="preserve"> as well as guidance for students to prepare for the ESP using the skills that have been developed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2E6E9" w14:textId="77777777" w:rsidR="00484798" w:rsidRDefault="00484798" w:rsidP="002B439B">
      <w:r>
        <w:separator/>
      </w:r>
    </w:p>
  </w:endnote>
  <w:endnote w:type="continuationSeparator" w:id="0">
    <w:p w14:paraId="30E2F154" w14:textId="77777777" w:rsidR="00484798" w:rsidRDefault="00484798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99437" w14:textId="77777777" w:rsidR="00484798" w:rsidRDefault="00484798" w:rsidP="002B439B">
      <w:r>
        <w:separator/>
      </w:r>
    </w:p>
  </w:footnote>
  <w:footnote w:type="continuationSeparator" w:id="0">
    <w:p w14:paraId="2D3BB8D5" w14:textId="77777777" w:rsidR="00484798" w:rsidRDefault="00484798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63F40"/>
    <w:multiLevelType w:val="multilevel"/>
    <w:tmpl w:val="689ED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2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  <w:num w:numId="33" w16cid:durableId="2147000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B7B98"/>
    <w:rsid w:val="000D4387"/>
    <w:rsid w:val="000D4897"/>
    <w:rsid w:val="000E0EEE"/>
    <w:rsid w:val="000E2754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5D67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49CD"/>
    <w:rsid w:val="002666A3"/>
    <w:rsid w:val="002807CC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5AB1"/>
    <w:rsid w:val="00347985"/>
    <w:rsid w:val="00355EA8"/>
    <w:rsid w:val="0035779F"/>
    <w:rsid w:val="00362D34"/>
    <w:rsid w:val="00375DFE"/>
    <w:rsid w:val="00377E57"/>
    <w:rsid w:val="003A2562"/>
    <w:rsid w:val="003C0ECE"/>
    <w:rsid w:val="003C46C8"/>
    <w:rsid w:val="003C4C84"/>
    <w:rsid w:val="003C4D65"/>
    <w:rsid w:val="003E1658"/>
    <w:rsid w:val="003E3EED"/>
    <w:rsid w:val="003E6B10"/>
    <w:rsid w:val="003E7007"/>
    <w:rsid w:val="00402651"/>
    <w:rsid w:val="0040273B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01B6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B00D3"/>
    <w:rsid w:val="004C1CBF"/>
    <w:rsid w:val="004C3924"/>
    <w:rsid w:val="004C5B87"/>
    <w:rsid w:val="004D055D"/>
    <w:rsid w:val="004D0A23"/>
    <w:rsid w:val="004D51E0"/>
    <w:rsid w:val="004D58A1"/>
    <w:rsid w:val="004E0EC4"/>
    <w:rsid w:val="004E6C2D"/>
    <w:rsid w:val="004F5E81"/>
    <w:rsid w:val="00500AD3"/>
    <w:rsid w:val="005243AA"/>
    <w:rsid w:val="005259C7"/>
    <w:rsid w:val="00535319"/>
    <w:rsid w:val="005458AF"/>
    <w:rsid w:val="005706B0"/>
    <w:rsid w:val="00574CE1"/>
    <w:rsid w:val="005822BA"/>
    <w:rsid w:val="005836CE"/>
    <w:rsid w:val="00593EE7"/>
    <w:rsid w:val="005968D0"/>
    <w:rsid w:val="00597E44"/>
    <w:rsid w:val="005A7BB3"/>
    <w:rsid w:val="005B13CC"/>
    <w:rsid w:val="005C468A"/>
    <w:rsid w:val="005D3834"/>
    <w:rsid w:val="005E035B"/>
    <w:rsid w:val="005E19E2"/>
    <w:rsid w:val="005F46B7"/>
    <w:rsid w:val="0060302C"/>
    <w:rsid w:val="00605EE0"/>
    <w:rsid w:val="0060717E"/>
    <w:rsid w:val="00613045"/>
    <w:rsid w:val="00622D5D"/>
    <w:rsid w:val="00633BB0"/>
    <w:rsid w:val="006508AD"/>
    <w:rsid w:val="0065466B"/>
    <w:rsid w:val="00654978"/>
    <w:rsid w:val="00670789"/>
    <w:rsid w:val="0067341F"/>
    <w:rsid w:val="00674340"/>
    <w:rsid w:val="00681D6E"/>
    <w:rsid w:val="006926E1"/>
    <w:rsid w:val="006A3F5B"/>
    <w:rsid w:val="006B28BE"/>
    <w:rsid w:val="006D2578"/>
    <w:rsid w:val="006D27C0"/>
    <w:rsid w:val="006E2590"/>
    <w:rsid w:val="006E2B11"/>
    <w:rsid w:val="006F2D00"/>
    <w:rsid w:val="0070297E"/>
    <w:rsid w:val="0070753E"/>
    <w:rsid w:val="0072155F"/>
    <w:rsid w:val="00726B1A"/>
    <w:rsid w:val="007311E7"/>
    <w:rsid w:val="0073583D"/>
    <w:rsid w:val="00741472"/>
    <w:rsid w:val="00747EB7"/>
    <w:rsid w:val="007608EF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B3505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08F6"/>
    <w:rsid w:val="00852651"/>
    <w:rsid w:val="00861426"/>
    <w:rsid w:val="00862D4B"/>
    <w:rsid w:val="00864104"/>
    <w:rsid w:val="00864F57"/>
    <w:rsid w:val="00867D01"/>
    <w:rsid w:val="008934F6"/>
    <w:rsid w:val="008A1FA2"/>
    <w:rsid w:val="008B71CC"/>
    <w:rsid w:val="008E79BF"/>
    <w:rsid w:val="008F2792"/>
    <w:rsid w:val="008F439C"/>
    <w:rsid w:val="00901C11"/>
    <w:rsid w:val="00910A2E"/>
    <w:rsid w:val="00914A53"/>
    <w:rsid w:val="0094092B"/>
    <w:rsid w:val="009509C7"/>
    <w:rsid w:val="009628B8"/>
    <w:rsid w:val="00966F33"/>
    <w:rsid w:val="00967C75"/>
    <w:rsid w:val="0099077A"/>
    <w:rsid w:val="00991972"/>
    <w:rsid w:val="009936AD"/>
    <w:rsid w:val="00994E1A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3080"/>
    <w:rsid w:val="00A275FA"/>
    <w:rsid w:val="00A345E9"/>
    <w:rsid w:val="00A42F44"/>
    <w:rsid w:val="00A56B41"/>
    <w:rsid w:val="00A5732A"/>
    <w:rsid w:val="00A613D0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D3CE0"/>
    <w:rsid w:val="00AE5230"/>
    <w:rsid w:val="00AE5CE8"/>
    <w:rsid w:val="00AF0EA9"/>
    <w:rsid w:val="00AF3364"/>
    <w:rsid w:val="00AF538E"/>
    <w:rsid w:val="00AF7C13"/>
    <w:rsid w:val="00B20C05"/>
    <w:rsid w:val="00B231BF"/>
    <w:rsid w:val="00B353F1"/>
    <w:rsid w:val="00B4732A"/>
    <w:rsid w:val="00B47A57"/>
    <w:rsid w:val="00B63016"/>
    <w:rsid w:val="00B633F8"/>
    <w:rsid w:val="00B65DB7"/>
    <w:rsid w:val="00B72AD5"/>
    <w:rsid w:val="00B8101B"/>
    <w:rsid w:val="00B84519"/>
    <w:rsid w:val="00B87B93"/>
    <w:rsid w:val="00BA19AD"/>
    <w:rsid w:val="00BB11F6"/>
    <w:rsid w:val="00BC54A3"/>
    <w:rsid w:val="00BC79B5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857"/>
    <w:rsid w:val="00C77CE9"/>
    <w:rsid w:val="00C81F19"/>
    <w:rsid w:val="00C84EAA"/>
    <w:rsid w:val="00CA7865"/>
    <w:rsid w:val="00CB43C4"/>
    <w:rsid w:val="00CB5FF9"/>
    <w:rsid w:val="00CC07E3"/>
    <w:rsid w:val="00CC0D34"/>
    <w:rsid w:val="00CC492B"/>
    <w:rsid w:val="00CF72A8"/>
    <w:rsid w:val="00D0133B"/>
    <w:rsid w:val="00D01B5D"/>
    <w:rsid w:val="00D225BB"/>
    <w:rsid w:val="00D22A28"/>
    <w:rsid w:val="00D33CF3"/>
    <w:rsid w:val="00D53DFA"/>
    <w:rsid w:val="00D5434A"/>
    <w:rsid w:val="00D54E10"/>
    <w:rsid w:val="00D56F05"/>
    <w:rsid w:val="00D723D3"/>
    <w:rsid w:val="00D76565"/>
    <w:rsid w:val="00D85015"/>
    <w:rsid w:val="00DA1A9A"/>
    <w:rsid w:val="00DA2AD4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9DE"/>
    <w:rsid w:val="00E03BE4"/>
    <w:rsid w:val="00E048D0"/>
    <w:rsid w:val="00E14FE6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26B6"/>
    <w:rsid w:val="00E854AC"/>
    <w:rsid w:val="00EA05C1"/>
    <w:rsid w:val="00EA5426"/>
    <w:rsid w:val="00EC74D0"/>
    <w:rsid w:val="00ED3056"/>
    <w:rsid w:val="00ED6169"/>
    <w:rsid w:val="00EE20B6"/>
    <w:rsid w:val="00EE3C87"/>
    <w:rsid w:val="00EE405B"/>
    <w:rsid w:val="00EE5F7C"/>
    <w:rsid w:val="00F05E25"/>
    <w:rsid w:val="00F150B2"/>
    <w:rsid w:val="00F2786B"/>
    <w:rsid w:val="00F27E8C"/>
    <w:rsid w:val="00F331D0"/>
    <w:rsid w:val="00F370C5"/>
    <w:rsid w:val="00F635D0"/>
    <w:rsid w:val="00F66042"/>
    <w:rsid w:val="00F66A39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6208"/>
    <w:rsid w:val="00FC71F8"/>
    <w:rsid w:val="00FC769E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4B00D3"/>
  </w:style>
  <w:style w:type="paragraph" w:customStyle="1" w:styleId="paragraph">
    <w:name w:val="paragraph"/>
    <w:basedOn w:val="Normal"/>
    <w:rsid w:val="005353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53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175E5-B94A-4B38-AB82-CCD157A19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2847a094-2edf-4950-a853-13ec668231e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14d2ded-29cc-4abd-a1df-c646721ce55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Sadé Williams</cp:lastModifiedBy>
  <cp:revision>27</cp:revision>
  <dcterms:created xsi:type="dcterms:W3CDTF">2024-06-17T14:02:00Z</dcterms:created>
  <dcterms:modified xsi:type="dcterms:W3CDTF">2024-07-23T14:21:00Z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