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C7379" w14:textId="280D30A2" w:rsidR="00154BCF" w:rsidRDefault="005337A7">
      <w:pPr>
        <w:rPr>
          <w:b/>
          <w:bCs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1E7701F" wp14:editId="6B420F0C">
            <wp:simplePos x="0" y="0"/>
            <wp:positionH relativeFrom="margin">
              <wp:align>right</wp:align>
            </wp:positionH>
            <wp:positionV relativeFrom="paragraph">
              <wp:posOffset>-457835</wp:posOffset>
            </wp:positionV>
            <wp:extent cx="2333625" cy="793750"/>
            <wp:effectExtent l="0" t="0" r="9525" b="0"/>
            <wp:wrapNone/>
            <wp:docPr id="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793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F33">
        <w:rPr>
          <w:noProof/>
        </w:rPr>
        <w:drawing>
          <wp:anchor distT="0" distB="0" distL="114300" distR="114300" simplePos="0" relativeHeight="251659264" behindDoc="0" locked="0" layoutInCell="1" allowOverlap="1" wp14:anchorId="5A936496" wp14:editId="3C80CA87">
            <wp:simplePos x="0" y="0"/>
            <wp:positionH relativeFrom="margin">
              <wp:align>left</wp:align>
            </wp:positionH>
            <wp:positionV relativeFrom="paragraph">
              <wp:posOffset>-482600</wp:posOffset>
            </wp:positionV>
            <wp:extent cx="1551114" cy="820800"/>
            <wp:effectExtent l="0" t="0" r="0" b="0"/>
            <wp:wrapNone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114" cy="8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93192" w14:textId="7211F39D" w:rsidR="00D0133B" w:rsidRDefault="00D0133B">
      <w:pPr>
        <w:rPr>
          <w:b/>
          <w:bCs/>
          <w:sz w:val="36"/>
          <w:szCs w:val="36"/>
        </w:rPr>
      </w:pPr>
    </w:p>
    <w:p w14:paraId="40C59AC2" w14:textId="5BFA2FEB" w:rsidR="00C84EAA" w:rsidRPr="00A761C5" w:rsidRDefault="00C84EAA" w:rsidP="00C84EAA">
      <w:pPr>
        <w:rPr>
          <w:rFonts w:cs="Arial"/>
          <w:b/>
          <w:bCs/>
          <w:sz w:val="28"/>
          <w:szCs w:val="28"/>
        </w:rPr>
      </w:pPr>
    </w:p>
    <w:p w14:paraId="3A85620D" w14:textId="028D5142" w:rsidR="00DD541B" w:rsidRPr="00A761C5" w:rsidRDefault="00A761C5" w:rsidP="00C84EAA">
      <w:pPr>
        <w:rPr>
          <w:rFonts w:cs="Arial"/>
          <w:b/>
          <w:bCs/>
          <w:sz w:val="28"/>
          <w:szCs w:val="28"/>
        </w:rPr>
      </w:pPr>
      <w:r w:rsidRPr="00A761C5">
        <w:rPr>
          <w:rFonts w:cs="Arial"/>
          <w:b/>
          <w:bCs/>
          <w:sz w:val="28"/>
          <w:szCs w:val="28"/>
        </w:rPr>
        <w:t>TRIP 2</w:t>
      </w:r>
    </w:p>
    <w:p w14:paraId="5A85955F" w14:textId="77777777" w:rsidR="00D0133B" w:rsidRPr="00D0133B" w:rsidRDefault="00D0133B" w:rsidP="00D0133B">
      <w:pPr>
        <w:rPr>
          <w:lang w:eastAsia="en-GB"/>
        </w:rPr>
      </w:pPr>
    </w:p>
    <w:p w14:paraId="1FF95187" w14:textId="4B0B687F" w:rsidR="0078454B" w:rsidRDefault="00345AB1" w:rsidP="0078454B">
      <w:pPr>
        <w:textAlignment w:val="baseline"/>
        <w:rPr>
          <w:rFonts w:eastAsia="Times New Roman" w:cs="Arial"/>
          <w:b/>
          <w:bCs/>
          <w:lang w:eastAsia="en-GB"/>
        </w:rPr>
      </w:pPr>
      <w:r>
        <w:rPr>
          <w:rFonts w:cs="Arial"/>
          <w:b/>
          <w:bCs/>
          <w:sz w:val="28"/>
          <w:szCs w:val="28"/>
        </w:rPr>
        <w:t>M</w:t>
      </w:r>
      <w:r w:rsidR="001C33E3" w:rsidRPr="003D3B74">
        <w:rPr>
          <w:rFonts w:cs="Arial"/>
          <w:b/>
          <w:bCs/>
          <w:sz w:val="28"/>
          <w:szCs w:val="28"/>
        </w:rPr>
        <w:t>aterials to support the development of Core Skill</w:t>
      </w:r>
      <w:r w:rsidR="005243AA">
        <w:rPr>
          <w:rFonts w:cs="Arial"/>
          <w:b/>
          <w:bCs/>
          <w:sz w:val="28"/>
          <w:szCs w:val="28"/>
        </w:rPr>
        <w:t xml:space="preserve"> four</w:t>
      </w:r>
      <w:r w:rsidR="001C33E3" w:rsidRPr="003D3B74">
        <w:rPr>
          <w:rFonts w:cs="Arial"/>
          <w:b/>
          <w:bCs/>
          <w:sz w:val="28"/>
          <w:szCs w:val="28"/>
        </w:rPr>
        <w:t xml:space="preserve"> for the Employer Set Project</w:t>
      </w:r>
      <w:r w:rsidR="002A0982">
        <w:rPr>
          <w:rFonts w:cs="Arial"/>
          <w:b/>
          <w:bCs/>
          <w:sz w:val="28"/>
          <w:szCs w:val="28"/>
        </w:rPr>
        <w:t xml:space="preserve"> in T Level Education and Early Years</w:t>
      </w:r>
    </w:p>
    <w:p w14:paraId="2F40AF77" w14:textId="77777777" w:rsidR="001C33E3" w:rsidRDefault="001C33E3" w:rsidP="0078454B">
      <w:pPr>
        <w:textAlignment w:val="baseline"/>
        <w:rPr>
          <w:rFonts w:cs="Arial"/>
        </w:rPr>
      </w:pPr>
    </w:p>
    <w:p w14:paraId="522C536E" w14:textId="03E1E5C0" w:rsidR="0078454B" w:rsidRDefault="00417129" w:rsidP="0078454B">
      <w:pPr>
        <w:textAlignment w:val="baseline"/>
        <w:rPr>
          <w:rFonts w:cs="Arial"/>
        </w:rPr>
      </w:pPr>
      <w:r w:rsidRPr="00417129">
        <w:rPr>
          <w:rFonts w:cs="Arial"/>
        </w:rPr>
        <w:t>This T Level Resource Improvement Pr</w:t>
      </w:r>
      <w:r>
        <w:rPr>
          <w:rFonts w:cs="Arial"/>
        </w:rPr>
        <w:t>o</w:t>
      </w:r>
      <w:r w:rsidRPr="00417129">
        <w:rPr>
          <w:rFonts w:cs="Arial"/>
        </w:rPr>
        <w:t xml:space="preserve">ject (TRIP) </w:t>
      </w:r>
      <w:r w:rsidR="00910A2E">
        <w:rPr>
          <w:rFonts w:cs="Arial"/>
        </w:rPr>
        <w:t>has produced</w:t>
      </w:r>
      <w:r w:rsidR="00070B6E">
        <w:rPr>
          <w:rFonts w:cs="Arial"/>
        </w:rPr>
        <w:t xml:space="preserve"> a range of </w:t>
      </w:r>
      <w:r w:rsidR="00280B3F">
        <w:rPr>
          <w:rFonts w:cs="Arial"/>
        </w:rPr>
        <w:t>learning materials</w:t>
      </w:r>
      <w:r w:rsidR="00C81F19">
        <w:rPr>
          <w:rFonts w:cs="Arial"/>
        </w:rPr>
        <w:t>, developed</w:t>
      </w:r>
      <w:r w:rsidR="00317434">
        <w:rPr>
          <w:rFonts w:cs="Arial"/>
        </w:rPr>
        <w:t xml:space="preserve"> </w:t>
      </w:r>
      <w:r w:rsidR="0078454B" w:rsidRPr="00AB18F0">
        <w:rPr>
          <w:rFonts w:cs="Arial"/>
        </w:rPr>
        <w:t>and peer reviewed</w:t>
      </w:r>
      <w:r w:rsidR="00C81F19">
        <w:rPr>
          <w:rFonts w:cs="Arial"/>
        </w:rPr>
        <w:t xml:space="preserve"> by experienced T Level providers. These </w:t>
      </w:r>
      <w:r w:rsidR="0078454B" w:rsidRPr="00AB18F0">
        <w:rPr>
          <w:rFonts w:cs="Arial"/>
        </w:rPr>
        <w:t xml:space="preserve">learning </w:t>
      </w:r>
      <w:r w:rsidR="00910A2E">
        <w:rPr>
          <w:rFonts w:cs="Arial"/>
        </w:rPr>
        <w:t>materials</w:t>
      </w:r>
      <w:r w:rsidR="0078454B" w:rsidRPr="00AB18F0">
        <w:rPr>
          <w:rFonts w:cs="Arial"/>
        </w:rPr>
        <w:t xml:space="preserve"> </w:t>
      </w:r>
      <w:r w:rsidR="0006798F">
        <w:rPr>
          <w:rFonts w:cs="Arial"/>
        </w:rPr>
        <w:t xml:space="preserve">will </w:t>
      </w:r>
      <w:r w:rsidR="000F69C1">
        <w:rPr>
          <w:rFonts w:cs="Arial"/>
        </w:rPr>
        <w:t>support learners</w:t>
      </w:r>
      <w:r w:rsidR="0006798F">
        <w:rPr>
          <w:rFonts w:cs="Arial"/>
        </w:rPr>
        <w:t xml:space="preserve"> to develop </w:t>
      </w:r>
      <w:r w:rsidR="000F69C1">
        <w:rPr>
          <w:rFonts w:cs="Arial"/>
        </w:rPr>
        <w:t>C</w:t>
      </w:r>
      <w:r w:rsidR="00DA1A9A">
        <w:rPr>
          <w:rFonts w:cs="Arial"/>
        </w:rPr>
        <w:t xml:space="preserve">ore </w:t>
      </w:r>
      <w:r w:rsidR="000F69C1">
        <w:rPr>
          <w:rFonts w:cs="Arial"/>
        </w:rPr>
        <w:t>S</w:t>
      </w:r>
      <w:r w:rsidR="00DA1A9A">
        <w:rPr>
          <w:rFonts w:cs="Arial"/>
        </w:rPr>
        <w:t xml:space="preserve">kill </w:t>
      </w:r>
      <w:r w:rsidR="006926E1">
        <w:rPr>
          <w:rFonts w:cs="Arial"/>
        </w:rPr>
        <w:t>four</w:t>
      </w:r>
      <w:r w:rsidR="00DA1A9A">
        <w:rPr>
          <w:rFonts w:cs="Arial"/>
        </w:rPr>
        <w:t xml:space="preserve"> </w:t>
      </w:r>
      <w:bookmarkStart w:id="0" w:name="_Hlk167858847"/>
      <w:r w:rsidR="00C17A1B">
        <w:rPr>
          <w:rFonts w:cs="Arial"/>
        </w:rPr>
        <w:t>of</w:t>
      </w:r>
      <w:r w:rsidR="00DA1A9A">
        <w:rPr>
          <w:rFonts w:cs="Arial"/>
        </w:rPr>
        <w:t xml:space="preserve"> </w:t>
      </w:r>
      <w:r w:rsidR="0078454B" w:rsidRPr="00AB18F0">
        <w:rPr>
          <w:rFonts w:cs="Arial"/>
        </w:rPr>
        <w:t xml:space="preserve">the </w:t>
      </w:r>
      <w:r w:rsidR="00063A09" w:rsidRPr="00AB18F0">
        <w:rPr>
          <w:rFonts w:cs="Arial"/>
        </w:rPr>
        <w:t xml:space="preserve">T Level </w:t>
      </w:r>
      <w:r w:rsidR="00063A09">
        <w:rPr>
          <w:rFonts w:cs="Arial"/>
        </w:rPr>
        <w:t xml:space="preserve">in </w:t>
      </w:r>
      <w:r w:rsidR="00063A09" w:rsidRPr="00063A09">
        <w:rPr>
          <w:rFonts w:cs="Arial"/>
        </w:rPr>
        <w:t xml:space="preserve">Education </w:t>
      </w:r>
      <w:r w:rsidR="00063A09">
        <w:rPr>
          <w:rFonts w:cs="Arial"/>
        </w:rPr>
        <w:t>and</w:t>
      </w:r>
      <w:r w:rsidR="00063A09" w:rsidRPr="00063A09">
        <w:rPr>
          <w:rFonts w:cs="Arial"/>
        </w:rPr>
        <w:t xml:space="preserve"> Early Years</w:t>
      </w:r>
      <w:r w:rsidR="00063A09">
        <w:rPr>
          <w:rFonts w:cs="Arial"/>
        </w:rPr>
        <w:t>.</w:t>
      </w:r>
      <w:bookmarkEnd w:id="0"/>
    </w:p>
    <w:p w14:paraId="01C1EB90" w14:textId="77777777" w:rsidR="008477B3" w:rsidRDefault="008477B3" w:rsidP="0078454B">
      <w:pPr>
        <w:textAlignment w:val="baseline"/>
        <w:rPr>
          <w:rFonts w:cs="Arial"/>
        </w:rPr>
      </w:pPr>
    </w:p>
    <w:p w14:paraId="5B7A1C1A" w14:textId="78362D84" w:rsidR="00A0183D" w:rsidRDefault="00230BAF" w:rsidP="0078454B">
      <w:pPr>
        <w:textAlignment w:val="baseline"/>
        <w:rPr>
          <w:rFonts w:cs="Arial"/>
        </w:rPr>
      </w:pPr>
      <w:r w:rsidRPr="00230BAF">
        <w:rPr>
          <w:rFonts w:cs="Arial"/>
        </w:rPr>
        <w:t xml:space="preserve">Produced by </w:t>
      </w:r>
      <w:r w:rsidR="006926E1">
        <w:rPr>
          <w:rFonts w:cs="Arial"/>
          <w:b/>
          <w:bCs/>
        </w:rPr>
        <w:t xml:space="preserve">South </w:t>
      </w:r>
      <w:r w:rsidR="00202C83">
        <w:rPr>
          <w:rFonts w:cs="Arial"/>
          <w:b/>
          <w:bCs/>
        </w:rPr>
        <w:t xml:space="preserve">Gloucestershire and Stroud </w:t>
      </w:r>
      <w:r w:rsidR="00500AD3">
        <w:rPr>
          <w:rFonts w:cs="Arial"/>
          <w:b/>
          <w:bCs/>
        </w:rPr>
        <w:t>College</w:t>
      </w:r>
      <w:r w:rsidR="00086C73" w:rsidRPr="00A5732A">
        <w:rPr>
          <w:rFonts w:cs="Arial"/>
        </w:rPr>
        <w:t xml:space="preserve"> </w:t>
      </w:r>
      <w:r w:rsidR="00086C73">
        <w:rPr>
          <w:rFonts w:cs="Arial"/>
        </w:rPr>
        <w:t xml:space="preserve">and peer reviewed </w:t>
      </w:r>
      <w:r w:rsidR="00086C73" w:rsidRPr="000719DC">
        <w:rPr>
          <w:rFonts w:cs="Arial"/>
        </w:rPr>
        <w:t xml:space="preserve">by </w:t>
      </w:r>
      <w:r w:rsidR="00AB48F8">
        <w:rPr>
          <w:rFonts w:cs="Arial"/>
        </w:rPr>
        <w:t>Wiltshire</w:t>
      </w:r>
      <w:r w:rsidR="000719DC" w:rsidRPr="000719DC">
        <w:rPr>
          <w:rFonts w:cs="Arial"/>
        </w:rPr>
        <w:t xml:space="preserve"> C</w:t>
      </w:r>
      <w:r w:rsidR="00086C73" w:rsidRPr="000719DC">
        <w:rPr>
          <w:rFonts w:cs="Arial"/>
        </w:rPr>
        <w:t>ollege</w:t>
      </w:r>
      <w:r w:rsidRPr="000719DC">
        <w:rPr>
          <w:rFonts w:cs="Arial"/>
        </w:rPr>
        <w:t xml:space="preserve">, </w:t>
      </w:r>
      <w:r>
        <w:rPr>
          <w:rFonts w:cs="Arial"/>
        </w:rPr>
        <w:t>th</w:t>
      </w:r>
      <w:r w:rsidR="00862D4B">
        <w:rPr>
          <w:rFonts w:cs="Arial"/>
        </w:rPr>
        <w:t>is TRIP</w:t>
      </w:r>
      <w:r>
        <w:rPr>
          <w:rFonts w:cs="Arial"/>
        </w:rPr>
        <w:t xml:space="preserve"> </w:t>
      </w:r>
      <w:r w:rsidR="0046498E" w:rsidRPr="0070753E">
        <w:rPr>
          <w:rFonts w:cs="Arial"/>
        </w:rPr>
        <w:t>provide</w:t>
      </w:r>
      <w:r w:rsidR="0046498E">
        <w:rPr>
          <w:rFonts w:cs="Arial"/>
        </w:rPr>
        <w:t>s</w:t>
      </w:r>
      <w:r w:rsidR="0046498E" w:rsidRPr="0070753E">
        <w:rPr>
          <w:rFonts w:cs="Arial"/>
        </w:rPr>
        <w:t xml:space="preserve"> </w:t>
      </w:r>
      <w:r w:rsidR="00DE5478">
        <w:rPr>
          <w:rFonts w:cs="Arial"/>
        </w:rPr>
        <w:t xml:space="preserve">an accessible framework for learning, </w:t>
      </w:r>
      <w:r w:rsidR="00144FBC">
        <w:rPr>
          <w:rFonts w:cs="Arial"/>
        </w:rPr>
        <w:t xml:space="preserve">lesson plans and supporting </w:t>
      </w:r>
      <w:r w:rsidR="00DE5478">
        <w:rPr>
          <w:rFonts w:cs="Arial"/>
        </w:rPr>
        <w:t>learning materials</w:t>
      </w:r>
      <w:r w:rsidR="0046498E" w:rsidRPr="0070753E">
        <w:rPr>
          <w:rFonts w:cs="Arial"/>
        </w:rPr>
        <w:t xml:space="preserve"> that will </w:t>
      </w:r>
      <w:r w:rsidR="00A0183D">
        <w:rPr>
          <w:rFonts w:cs="Arial"/>
        </w:rPr>
        <w:t>enable</w:t>
      </w:r>
      <w:r w:rsidR="0046498E" w:rsidRPr="0070753E">
        <w:rPr>
          <w:rFonts w:cs="Arial"/>
        </w:rPr>
        <w:t xml:space="preserve"> learners to </w:t>
      </w:r>
      <w:r w:rsidR="00C57110">
        <w:rPr>
          <w:rFonts w:cs="Arial"/>
        </w:rPr>
        <w:t xml:space="preserve">hone and develop Core Skill </w:t>
      </w:r>
      <w:r w:rsidR="00E773AF">
        <w:rPr>
          <w:rFonts w:cs="Arial"/>
        </w:rPr>
        <w:t>four</w:t>
      </w:r>
      <w:r w:rsidR="00C57110">
        <w:rPr>
          <w:rFonts w:cs="Arial"/>
        </w:rPr>
        <w:t xml:space="preserve"> in conjunction</w:t>
      </w:r>
      <w:r w:rsidR="005D3834">
        <w:rPr>
          <w:rFonts w:cs="Arial"/>
        </w:rPr>
        <w:t xml:space="preserve"> with </w:t>
      </w:r>
      <w:r w:rsidR="00C17A1B">
        <w:rPr>
          <w:rFonts w:cs="Arial"/>
        </w:rPr>
        <w:t xml:space="preserve">developing </w:t>
      </w:r>
      <w:r w:rsidR="005D3834">
        <w:rPr>
          <w:rFonts w:cs="Arial"/>
        </w:rPr>
        <w:t>understanding of Core Content</w:t>
      </w:r>
      <w:r w:rsidR="00D723D3">
        <w:rPr>
          <w:rFonts w:cs="Arial"/>
        </w:rPr>
        <w:t xml:space="preserve"> </w:t>
      </w:r>
      <w:r w:rsidR="004D58A1">
        <w:rPr>
          <w:rFonts w:cs="Arial"/>
        </w:rPr>
        <w:t xml:space="preserve">and Occupational Specialism content </w:t>
      </w:r>
      <w:r w:rsidR="00D723D3">
        <w:rPr>
          <w:rFonts w:cs="Arial"/>
        </w:rPr>
        <w:t xml:space="preserve">of </w:t>
      </w:r>
      <w:r w:rsidR="00D723D3" w:rsidRPr="00AB18F0">
        <w:rPr>
          <w:rFonts w:cs="Arial"/>
        </w:rPr>
        <w:t xml:space="preserve">the T Level </w:t>
      </w:r>
      <w:r w:rsidR="00D723D3">
        <w:rPr>
          <w:rFonts w:cs="Arial"/>
        </w:rPr>
        <w:t xml:space="preserve">in </w:t>
      </w:r>
      <w:r w:rsidR="00D723D3" w:rsidRPr="00063A09">
        <w:rPr>
          <w:rFonts w:cs="Arial"/>
        </w:rPr>
        <w:t xml:space="preserve">Education </w:t>
      </w:r>
      <w:r w:rsidR="00D723D3">
        <w:rPr>
          <w:rFonts w:cs="Arial"/>
        </w:rPr>
        <w:t>and</w:t>
      </w:r>
      <w:r w:rsidR="00D723D3" w:rsidRPr="00063A09">
        <w:rPr>
          <w:rFonts w:cs="Arial"/>
        </w:rPr>
        <w:t xml:space="preserve"> Early Years</w:t>
      </w:r>
      <w:r w:rsidR="00D723D3">
        <w:rPr>
          <w:rFonts w:cs="Arial"/>
        </w:rPr>
        <w:t>.</w:t>
      </w:r>
    </w:p>
    <w:p w14:paraId="4E408816" w14:textId="77777777" w:rsidR="00A0183D" w:rsidRDefault="00A0183D" w:rsidP="0078454B">
      <w:pPr>
        <w:textAlignment w:val="baseline"/>
        <w:rPr>
          <w:rFonts w:cs="Arial"/>
        </w:rPr>
      </w:pPr>
    </w:p>
    <w:p w14:paraId="5BE2BB0C" w14:textId="10641521" w:rsidR="0046498E" w:rsidRDefault="00D22A28" w:rsidP="0078454B">
      <w:pPr>
        <w:textAlignment w:val="baseline"/>
        <w:rPr>
          <w:rFonts w:cs="Arial"/>
        </w:rPr>
      </w:pPr>
      <w:r>
        <w:rPr>
          <w:rFonts w:cs="Arial"/>
        </w:rPr>
        <w:t>The r</w:t>
      </w:r>
      <w:r w:rsidR="00A0183D">
        <w:rPr>
          <w:rFonts w:cs="Arial"/>
        </w:rPr>
        <w:t>esources include:</w:t>
      </w:r>
    </w:p>
    <w:p w14:paraId="09C7E369" w14:textId="1AEDCCE5" w:rsidR="007E4675" w:rsidRPr="007E4675" w:rsidRDefault="00C25418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a</w:t>
      </w:r>
      <w:r w:rsidR="007E4675" w:rsidRPr="007E4675">
        <w:rPr>
          <w:rFonts w:cs="Arial"/>
        </w:rPr>
        <w:t xml:space="preserve"> framework for learning to show how learning </w:t>
      </w:r>
      <w:r w:rsidR="007E4675">
        <w:rPr>
          <w:rFonts w:cs="Arial"/>
        </w:rPr>
        <w:t xml:space="preserve">can </w:t>
      </w:r>
      <w:proofErr w:type="gramStart"/>
      <w:r w:rsidR="007E4675">
        <w:rPr>
          <w:rFonts w:cs="Arial"/>
        </w:rPr>
        <w:t xml:space="preserve">be </w:t>
      </w:r>
      <w:r w:rsidR="007E4675" w:rsidRPr="007E4675">
        <w:rPr>
          <w:rFonts w:cs="Arial"/>
        </w:rPr>
        <w:t>scaffolded</w:t>
      </w:r>
      <w:proofErr w:type="gramEnd"/>
      <w:r w:rsidR="007E4675" w:rsidRPr="007E4675">
        <w:rPr>
          <w:rFonts w:cs="Arial"/>
        </w:rPr>
        <w:t xml:space="preserve"> and sequenced to develop </w:t>
      </w:r>
      <w:r w:rsidR="007E4675">
        <w:rPr>
          <w:rFonts w:cs="Arial"/>
        </w:rPr>
        <w:t xml:space="preserve">Core Skill </w:t>
      </w:r>
      <w:r w:rsidR="00E773AF">
        <w:rPr>
          <w:rFonts w:cs="Arial"/>
        </w:rPr>
        <w:t>four</w:t>
      </w:r>
      <w:r w:rsidR="00413F3A">
        <w:rPr>
          <w:rFonts w:cs="Arial"/>
        </w:rPr>
        <w:t xml:space="preserve"> for the Employer Set Project (ESP)</w:t>
      </w:r>
      <w:r w:rsidR="00E773AF">
        <w:rPr>
          <w:rFonts w:cs="Arial"/>
        </w:rPr>
        <w:t>.</w:t>
      </w:r>
    </w:p>
    <w:p w14:paraId="546BE007" w14:textId="261C903C" w:rsidR="007E4675" w:rsidRPr="007E4675" w:rsidRDefault="00C25418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t</w:t>
      </w:r>
      <w:r w:rsidR="000F3FD9">
        <w:rPr>
          <w:rFonts w:cs="Arial"/>
        </w:rPr>
        <w:t>en l</w:t>
      </w:r>
      <w:r w:rsidR="007E4675" w:rsidRPr="007E4675">
        <w:rPr>
          <w:rFonts w:cs="Arial"/>
        </w:rPr>
        <w:t xml:space="preserve">esson plans </w:t>
      </w:r>
      <w:r w:rsidR="005E035B">
        <w:rPr>
          <w:rFonts w:cs="Arial"/>
        </w:rPr>
        <w:t>which cover</w:t>
      </w:r>
      <w:r w:rsidR="007E4675" w:rsidRPr="007E4675">
        <w:rPr>
          <w:rFonts w:cs="Arial"/>
        </w:rPr>
        <w:t xml:space="preserve"> 20 hours of learning to support the scaffolding of the development of </w:t>
      </w:r>
      <w:r w:rsidR="005E035B">
        <w:rPr>
          <w:rFonts w:cs="Arial"/>
        </w:rPr>
        <w:t>Core Skill</w:t>
      </w:r>
      <w:r w:rsidR="00B65DB7">
        <w:rPr>
          <w:rFonts w:cs="Arial"/>
        </w:rPr>
        <w:t xml:space="preserve"> </w:t>
      </w:r>
      <w:r w:rsidR="006D27C0">
        <w:rPr>
          <w:rFonts w:cs="Arial"/>
        </w:rPr>
        <w:t>four</w:t>
      </w:r>
      <w:r w:rsidR="005E035B">
        <w:rPr>
          <w:rFonts w:cs="Arial"/>
        </w:rPr>
        <w:t xml:space="preserve"> in conjunction with Core Content</w:t>
      </w:r>
      <w:r w:rsidR="008934F6">
        <w:rPr>
          <w:rFonts w:cs="Arial"/>
        </w:rPr>
        <w:t xml:space="preserve"> and with links to practice in placement</w:t>
      </w:r>
      <w:r w:rsidR="004D58A1">
        <w:rPr>
          <w:rFonts w:cs="Arial"/>
        </w:rPr>
        <w:t xml:space="preserve"> and Occupational Specialism (OS) </w:t>
      </w:r>
      <w:proofErr w:type="gramStart"/>
      <w:r w:rsidR="004D58A1">
        <w:rPr>
          <w:rFonts w:cs="Arial"/>
        </w:rPr>
        <w:t>content</w:t>
      </w:r>
      <w:proofErr w:type="gramEnd"/>
      <w:r w:rsidR="004D58A1">
        <w:rPr>
          <w:rFonts w:cs="Arial"/>
        </w:rPr>
        <w:t xml:space="preserve"> </w:t>
      </w:r>
    </w:p>
    <w:p w14:paraId="497E3ED0" w14:textId="7223D14C" w:rsidR="007E4675" w:rsidRPr="007E4675" w:rsidRDefault="00C25418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l</w:t>
      </w:r>
      <w:r w:rsidR="007E4675" w:rsidRPr="007E4675">
        <w:rPr>
          <w:rFonts w:cs="Arial"/>
        </w:rPr>
        <w:t xml:space="preserve">earning materials </w:t>
      </w:r>
      <w:r w:rsidR="00345AB1">
        <w:rPr>
          <w:rFonts w:cs="Arial"/>
        </w:rPr>
        <w:t>to support each lesson</w:t>
      </w:r>
      <w:r w:rsidR="007E4675" w:rsidRPr="007E4675">
        <w:rPr>
          <w:rFonts w:cs="Arial"/>
        </w:rPr>
        <w:t xml:space="preserve"> </w:t>
      </w:r>
      <w:r w:rsidR="00345AB1">
        <w:rPr>
          <w:rFonts w:cs="Arial"/>
        </w:rPr>
        <w:t xml:space="preserve">which </w:t>
      </w:r>
      <w:r w:rsidR="007E4675" w:rsidRPr="007E4675">
        <w:rPr>
          <w:rFonts w:cs="Arial"/>
        </w:rPr>
        <w:t>enable</w:t>
      </w:r>
      <w:r w:rsidR="00345AB1">
        <w:rPr>
          <w:rFonts w:cs="Arial"/>
        </w:rPr>
        <w:t>s</w:t>
      </w:r>
      <w:r w:rsidR="007E4675" w:rsidRPr="007E4675">
        <w:rPr>
          <w:rFonts w:cs="Arial"/>
        </w:rPr>
        <w:t xml:space="preserve"> the delivery of the 20 hours of learning</w:t>
      </w:r>
      <w:r w:rsidR="00345AB1">
        <w:rPr>
          <w:rFonts w:cs="Arial"/>
        </w:rPr>
        <w:t>.</w:t>
      </w:r>
    </w:p>
    <w:p w14:paraId="1179EFAE" w14:textId="77777777" w:rsidR="002B439B" w:rsidRDefault="002B439B" w:rsidP="002B439B">
      <w:pPr>
        <w:tabs>
          <w:tab w:val="left" w:pos="9645"/>
        </w:tabs>
        <w:spacing w:before="240"/>
        <w:contextualSpacing/>
        <w:rPr>
          <w:rFonts w:cs="Arial"/>
        </w:rPr>
      </w:pPr>
    </w:p>
    <w:p w14:paraId="17055C1F" w14:textId="54009A72" w:rsidR="00FF081B" w:rsidRDefault="00FF081B" w:rsidP="002B439B">
      <w:pPr>
        <w:tabs>
          <w:tab w:val="left" w:pos="9645"/>
        </w:tabs>
        <w:spacing w:before="240"/>
        <w:contextualSpacing/>
        <w:rPr>
          <w:rFonts w:eastAsia="Arial" w:cs="Arial"/>
          <w:szCs w:val="24"/>
        </w:rPr>
      </w:pPr>
      <w:r w:rsidRPr="00265D2F">
        <w:rPr>
          <w:rFonts w:eastAsia="Arial" w:cs="Arial"/>
          <w:szCs w:val="24"/>
        </w:rPr>
        <w:t xml:space="preserve">Core </w:t>
      </w:r>
      <w:r w:rsidRPr="00B47A57">
        <w:rPr>
          <w:rFonts w:cs="Arial"/>
        </w:rPr>
        <w:t xml:space="preserve">Skill </w:t>
      </w:r>
      <w:r w:rsidR="00670789" w:rsidRPr="00B47A57">
        <w:rPr>
          <w:rFonts w:cs="Arial"/>
        </w:rPr>
        <w:t>four</w:t>
      </w:r>
      <w:r w:rsidRPr="00B47A57">
        <w:rPr>
          <w:rFonts w:cs="Arial"/>
        </w:rPr>
        <w:t xml:space="preserve"> </w:t>
      </w:r>
      <w:r w:rsidR="00792EE7" w:rsidRPr="00B47A57">
        <w:rPr>
          <w:rFonts w:cs="Arial"/>
        </w:rPr>
        <w:t>requires learners to</w:t>
      </w:r>
      <w:r w:rsidR="00B47A57" w:rsidRPr="00B47A57">
        <w:rPr>
          <w:rFonts w:cs="Arial"/>
        </w:rPr>
        <w:t xml:space="preserve"> assess and manage risks to </w:t>
      </w:r>
      <w:r w:rsidR="00B47A57">
        <w:rPr>
          <w:rFonts w:cs="Arial"/>
        </w:rPr>
        <w:t>their</w:t>
      </w:r>
      <w:r w:rsidR="00B47A57" w:rsidRPr="00B47A57">
        <w:rPr>
          <w:rFonts w:cs="Arial"/>
        </w:rPr>
        <w:t xml:space="preserve"> own and others’ safety when planning activities</w:t>
      </w:r>
      <w:proofErr w:type="gramStart"/>
      <w:r w:rsidR="00B47A57" w:rsidRPr="00B47A57">
        <w:rPr>
          <w:rFonts w:cs="Arial"/>
        </w:rPr>
        <w:t>.</w:t>
      </w:r>
      <w:r w:rsidRPr="00B47A57">
        <w:rPr>
          <w:rFonts w:cs="Arial"/>
        </w:rPr>
        <w:t xml:space="preserve"> </w:t>
      </w:r>
      <w:r w:rsidR="002403D7">
        <w:rPr>
          <w:rFonts w:eastAsia="Arial" w:cs="Arial"/>
          <w:szCs w:val="24"/>
        </w:rPr>
        <w:t xml:space="preserve"> </w:t>
      </w:r>
      <w:proofErr w:type="gramEnd"/>
    </w:p>
    <w:p w14:paraId="6BB9527E" w14:textId="77777777" w:rsidR="00622D5D" w:rsidRDefault="00622D5D" w:rsidP="002B439B">
      <w:pPr>
        <w:tabs>
          <w:tab w:val="left" w:pos="9645"/>
        </w:tabs>
        <w:spacing w:before="240"/>
        <w:contextualSpacing/>
        <w:rPr>
          <w:rFonts w:eastAsia="Arial" w:cs="Arial"/>
          <w:szCs w:val="24"/>
        </w:rPr>
      </w:pPr>
    </w:p>
    <w:p w14:paraId="33E027B5" w14:textId="569734AD" w:rsidR="00FF081B" w:rsidRDefault="00622D5D" w:rsidP="002B439B">
      <w:pPr>
        <w:tabs>
          <w:tab w:val="left" w:pos="9645"/>
        </w:tabs>
        <w:spacing w:before="240"/>
        <w:contextualSpacing/>
        <w:rPr>
          <w:rFonts w:cs="Arial"/>
        </w:rPr>
      </w:pPr>
      <w:r w:rsidRPr="00F170DD">
        <w:rPr>
          <w:rFonts w:eastAsia="Arial" w:cs="Arial"/>
          <w:szCs w:val="24"/>
        </w:rPr>
        <w:t xml:space="preserve">This resource has been developed to enable providers to plan for and develop in learners the risk assessment and management skills needed to support them as they progress in their T Level studies, engage in their industry </w:t>
      </w:r>
      <w:proofErr w:type="gramStart"/>
      <w:r w:rsidRPr="00F170DD">
        <w:rPr>
          <w:rFonts w:eastAsia="Arial" w:cs="Arial"/>
          <w:szCs w:val="24"/>
        </w:rPr>
        <w:t>placement</w:t>
      </w:r>
      <w:proofErr w:type="gramEnd"/>
      <w:r w:rsidRPr="00F170DD">
        <w:rPr>
          <w:rFonts w:eastAsia="Arial" w:cs="Arial"/>
          <w:szCs w:val="24"/>
        </w:rPr>
        <w:t xml:space="preserve"> and complete their ESP assessment and </w:t>
      </w:r>
      <w:r w:rsidRPr="00F170DD">
        <w:rPr>
          <w:rFonts w:cs="Arial"/>
        </w:rPr>
        <w:t>E</w:t>
      </w:r>
      <w:r w:rsidR="00741472">
        <w:rPr>
          <w:rFonts w:cs="Arial"/>
        </w:rPr>
        <w:t xml:space="preserve">arly </w:t>
      </w:r>
      <w:r w:rsidRPr="00F170DD">
        <w:rPr>
          <w:rFonts w:cs="Arial"/>
        </w:rPr>
        <w:t>Y</w:t>
      </w:r>
      <w:r w:rsidR="00741472">
        <w:rPr>
          <w:rFonts w:cs="Arial"/>
        </w:rPr>
        <w:t xml:space="preserve">ears </w:t>
      </w:r>
      <w:r w:rsidRPr="00F170DD">
        <w:rPr>
          <w:rFonts w:cs="Arial"/>
        </w:rPr>
        <w:t>E</w:t>
      </w:r>
      <w:r w:rsidR="00D01B5D">
        <w:rPr>
          <w:rFonts w:cs="Arial"/>
        </w:rPr>
        <w:t>ducator Occupational Specialism</w:t>
      </w:r>
      <w:r w:rsidR="00DF18E6">
        <w:rPr>
          <w:rFonts w:cs="Arial"/>
        </w:rPr>
        <w:t>.</w:t>
      </w:r>
    </w:p>
    <w:p w14:paraId="260D18F8" w14:textId="77777777" w:rsidR="00DF18E6" w:rsidRDefault="00DF18E6" w:rsidP="002B439B">
      <w:pPr>
        <w:tabs>
          <w:tab w:val="left" w:pos="9645"/>
        </w:tabs>
        <w:spacing w:before="240"/>
        <w:contextualSpacing/>
        <w:rPr>
          <w:rFonts w:cs="Arial"/>
        </w:rPr>
      </w:pPr>
    </w:p>
    <w:p w14:paraId="758B5E8A" w14:textId="01CCBA20" w:rsidR="002B439B" w:rsidRPr="00265D2F" w:rsidRDefault="002B439B" w:rsidP="002B439B">
      <w:pPr>
        <w:tabs>
          <w:tab w:val="left" w:pos="9645"/>
        </w:tabs>
        <w:spacing w:before="240"/>
        <w:contextualSpacing/>
        <w:rPr>
          <w:rFonts w:cs="Arial"/>
        </w:rPr>
      </w:pPr>
      <w:r w:rsidRPr="00265D2F">
        <w:rPr>
          <w:rFonts w:cs="Arial"/>
        </w:rPr>
        <w:t>The framework for learning and supporting lesson plans provided in this resource cover the following</w:t>
      </w:r>
      <w:r w:rsidR="001A539D">
        <w:rPr>
          <w:rFonts w:cs="Arial"/>
        </w:rPr>
        <w:t xml:space="preserve"> Core Content:</w:t>
      </w:r>
    </w:p>
    <w:p w14:paraId="527C5F8D" w14:textId="19E585F8" w:rsidR="00A105AD" w:rsidRPr="004A0678" w:rsidRDefault="00FA3AD8" w:rsidP="0078454B">
      <w:pPr>
        <w:textAlignment w:val="baseline"/>
        <w:rPr>
          <w:rFonts w:eastAsia="Arial" w:cs="Arial"/>
          <w:szCs w:val="24"/>
        </w:rPr>
      </w:pPr>
      <w:r w:rsidRPr="00F170DD">
        <w:rPr>
          <w:rFonts w:cs="Arial"/>
          <w:szCs w:val="24"/>
        </w:rPr>
        <w:t xml:space="preserve">Core </w:t>
      </w:r>
      <w:r w:rsidRPr="004A0678">
        <w:rPr>
          <w:rFonts w:eastAsia="Arial" w:cs="Arial"/>
          <w:szCs w:val="24"/>
        </w:rPr>
        <w:t>Element 4</w:t>
      </w:r>
      <w:r w:rsidR="00441B5B" w:rsidRPr="004A0678">
        <w:rPr>
          <w:rFonts w:eastAsia="Arial" w:cs="Arial"/>
          <w:szCs w:val="24"/>
        </w:rPr>
        <w:t xml:space="preserve">: Behaviour and </w:t>
      </w:r>
      <w:proofErr w:type="gramStart"/>
      <w:r w:rsidR="00441B5B" w:rsidRPr="004A0678">
        <w:rPr>
          <w:rFonts w:eastAsia="Arial" w:cs="Arial"/>
          <w:szCs w:val="24"/>
        </w:rPr>
        <w:t>in particular 4.11</w:t>
      </w:r>
      <w:proofErr w:type="gramEnd"/>
      <w:r w:rsidR="00441B5B" w:rsidRPr="004A0678">
        <w:rPr>
          <w:rFonts w:eastAsia="Arial" w:cs="Arial"/>
          <w:szCs w:val="24"/>
        </w:rPr>
        <w:t>:</w:t>
      </w:r>
      <w:r w:rsidR="001224CC" w:rsidRPr="004A0678">
        <w:rPr>
          <w:rFonts w:eastAsia="Arial" w:cs="Arial"/>
          <w:szCs w:val="24"/>
        </w:rPr>
        <w:t xml:space="preserve"> The student must understand how and why practitioners use a range of strategies to support children and young people to develop self-regulation and resilience</w:t>
      </w:r>
      <w:r w:rsidR="00F331D0" w:rsidRPr="004A0678">
        <w:rPr>
          <w:rFonts w:eastAsia="Arial" w:cs="Arial"/>
          <w:szCs w:val="24"/>
        </w:rPr>
        <w:t>.</w:t>
      </w:r>
    </w:p>
    <w:p w14:paraId="67885C4B" w14:textId="77777777" w:rsidR="00F331D0" w:rsidRPr="004A0678" w:rsidRDefault="00F331D0" w:rsidP="0078454B">
      <w:pPr>
        <w:textAlignment w:val="baseline"/>
        <w:rPr>
          <w:rFonts w:eastAsia="Arial" w:cs="Arial"/>
          <w:szCs w:val="24"/>
        </w:rPr>
      </w:pPr>
    </w:p>
    <w:p w14:paraId="241947EB" w14:textId="04FEB6F9" w:rsidR="00F331D0" w:rsidRPr="004A0678" w:rsidRDefault="00F331D0" w:rsidP="0078454B">
      <w:pPr>
        <w:textAlignment w:val="baseline"/>
        <w:rPr>
          <w:rFonts w:eastAsia="Arial" w:cs="Arial"/>
          <w:szCs w:val="24"/>
        </w:rPr>
      </w:pPr>
      <w:r w:rsidRPr="004A0678">
        <w:rPr>
          <w:rFonts w:eastAsia="Arial" w:cs="Arial"/>
          <w:szCs w:val="24"/>
        </w:rPr>
        <w:t>The framework for learning and supporting lesson plans provided in this resource cover the following Occupational Specialism content</w:t>
      </w:r>
      <w:r w:rsidR="00167E9E" w:rsidRPr="004A0678">
        <w:rPr>
          <w:rFonts w:eastAsia="Arial" w:cs="Arial"/>
          <w:szCs w:val="24"/>
        </w:rPr>
        <w:t xml:space="preserve"> for E</w:t>
      </w:r>
      <w:r w:rsidR="002E1490" w:rsidRPr="004A0678">
        <w:rPr>
          <w:rFonts w:eastAsia="Arial" w:cs="Arial"/>
          <w:szCs w:val="24"/>
        </w:rPr>
        <w:t>arly</w:t>
      </w:r>
      <w:r w:rsidR="00167E9E" w:rsidRPr="004A0678">
        <w:rPr>
          <w:rFonts w:eastAsia="Arial" w:cs="Arial"/>
          <w:szCs w:val="24"/>
        </w:rPr>
        <w:t xml:space="preserve"> Years Educator</w:t>
      </w:r>
      <w:r w:rsidRPr="004A0678">
        <w:rPr>
          <w:rFonts w:eastAsia="Arial" w:cs="Arial"/>
          <w:szCs w:val="24"/>
        </w:rPr>
        <w:t xml:space="preserve">: </w:t>
      </w:r>
    </w:p>
    <w:p w14:paraId="63FCD73F" w14:textId="51FD5309" w:rsidR="00E03BE4" w:rsidRPr="00E03BE4" w:rsidRDefault="00E03BE4" w:rsidP="00E03BE4">
      <w:pPr>
        <w:rPr>
          <w:rFonts w:eastAsia="Arial" w:cs="Arial"/>
          <w:szCs w:val="24"/>
        </w:rPr>
      </w:pPr>
      <w:r w:rsidRPr="00E03BE4">
        <w:rPr>
          <w:rFonts w:eastAsia="Arial" w:cs="Arial"/>
          <w:szCs w:val="24"/>
        </w:rPr>
        <w:t>P</w:t>
      </w:r>
      <w:r w:rsidR="00167E9E" w:rsidRPr="004A0678">
        <w:rPr>
          <w:rFonts w:eastAsia="Arial" w:cs="Arial"/>
          <w:szCs w:val="24"/>
        </w:rPr>
        <w:t>erformance Outcome</w:t>
      </w:r>
      <w:r w:rsidR="002E1490" w:rsidRPr="004A0678">
        <w:rPr>
          <w:rFonts w:eastAsia="Arial" w:cs="Arial"/>
          <w:szCs w:val="24"/>
        </w:rPr>
        <w:t xml:space="preserve"> </w:t>
      </w:r>
      <w:r w:rsidRPr="00E03BE4">
        <w:rPr>
          <w:rFonts w:eastAsia="Arial" w:cs="Arial"/>
          <w:szCs w:val="24"/>
        </w:rPr>
        <w:t>1</w:t>
      </w:r>
      <w:r w:rsidR="002E1490" w:rsidRPr="004A0678">
        <w:rPr>
          <w:rFonts w:eastAsia="Arial" w:cs="Arial"/>
          <w:szCs w:val="24"/>
        </w:rPr>
        <w:t>:</w:t>
      </w:r>
      <w:r w:rsidRPr="00E03BE4">
        <w:rPr>
          <w:rFonts w:eastAsia="Arial" w:cs="Arial"/>
          <w:szCs w:val="24"/>
        </w:rPr>
        <w:t xml:space="preserve"> [K1.16] [K1.19] [K1.20] [S1.22] [S1.34] and P</w:t>
      </w:r>
      <w:r w:rsidR="002E1490" w:rsidRPr="004A0678">
        <w:rPr>
          <w:rFonts w:eastAsia="Arial" w:cs="Arial"/>
          <w:szCs w:val="24"/>
        </w:rPr>
        <w:t xml:space="preserve">erformance </w:t>
      </w:r>
      <w:r w:rsidRPr="00E03BE4">
        <w:rPr>
          <w:rFonts w:eastAsia="Arial" w:cs="Arial"/>
          <w:szCs w:val="24"/>
        </w:rPr>
        <w:t>O</w:t>
      </w:r>
      <w:r w:rsidR="002E1490" w:rsidRPr="004A0678">
        <w:rPr>
          <w:rFonts w:eastAsia="Arial" w:cs="Arial"/>
          <w:szCs w:val="24"/>
        </w:rPr>
        <w:t xml:space="preserve">utcome </w:t>
      </w:r>
      <w:r w:rsidRPr="00E03BE4">
        <w:rPr>
          <w:rFonts w:eastAsia="Arial" w:cs="Arial"/>
          <w:szCs w:val="24"/>
        </w:rPr>
        <w:t>4</w:t>
      </w:r>
      <w:r w:rsidR="00861426" w:rsidRPr="004A0678">
        <w:rPr>
          <w:rFonts w:eastAsia="Arial" w:cs="Arial"/>
          <w:szCs w:val="24"/>
        </w:rPr>
        <w:t>: [</w:t>
      </w:r>
      <w:r w:rsidRPr="00E03BE4">
        <w:rPr>
          <w:rFonts w:eastAsia="Arial" w:cs="Arial"/>
          <w:szCs w:val="24"/>
        </w:rPr>
        <w:t xml:space="preserve">S4.13] [S4.14] [S4.15] </w:t>
      </w:r>
    </w:p>
    <w:p w14:paraId="4B9B09D9" w14:textId="77777777" w:rsidR="000377C7" w:rsidRDefault="000377C7" w:rsidP="00E03BE4">
      <w:pPr>
        <w:rPr>
          <w:rFonts w:cs="Arial"/>
        </w:rPr>
      </w:pPr>
    </w:p>
    <w:p w14:paraId="29D16A5C" w14:textId="149C4F4D" w:rsidR="00861426" w:rsidRDefault="002E1490" w:rsidP="00E03BE4">
      <w:pPr>
        <w:rPr>
          <w:rFonts w:cs="Arial"/>
        </w:rPr>
      </w:pPr>
      <w:r w:rsidRPr="00265D2F">
        <w:rPr>
          <w:rFonts w:cs="Arial"/>
        </w:rPr>
        <w:lastRenderedPageBreak/>
        <w:t xml:space="preserve">The framework for learning and supporting lesson plans provided in this resource </w:t>
      </w:r>
      <w:r w:rsidR="00861426">
        <w:rPr>
          <w:rFonts w:cs="Arial"/>
        </w:rPr>
        <w:t xml:space="preserve">also </w:t>
      </w:r>
      <w:r w:rsidRPr="00265D2F">
        <w:rPr>
          <w:rFonts w:cs="Arial"/>
        </w:rPr>
        <w:t>cover the following</w:t>
      </w:r>
      <w:r>
        <w:rPr>
          <w:rFonts w:cs="Arial"/>
        </w:rPr>
        <w:t xml:space="preserve"> Occupational Specialism content for </w:t>
      </w:r>
      <w:r w:rsidR="000377C7">
        <w:rPr>
          <w:rFonts w:cs="Arial"/>
        </w:rPr>
        <w:t>Assisting Teaching:</w:t>
      </w:r>
    </w:p>
    <w:p w14:paraId="75DA7861" w14:textId="1FFABDD7" w:rsidR="00E03BE4" w:rsidRPr="00E03BE4" w:rsidRDefault="00E03BE4" w:rsidP="00E03BE4">
      <w:pPr>
        <w:rPr>
          <w:rFonts w:cs="Arial"/>
        </w:rPr>
      </w:pPr>
      <w:r w:rsidRPr="00E03BE4">
        <w:rPr>
          <w:rFonts w:cs="Arial"/>
        </w:rPr>
        <w:t>P</w:t>
      </w:r>
      <w:r w:rsidR="000377C7" w:rsidRPr="004A0678">
        <w:rPr>
          <w:rFonts w:cs="Arial"/>
        </w:rPr>
        <w:t xml:space="preserve">erformance </w:t>
      </w:r>
      <w:r w:rsidRPr="00E03BE4">
        <w:rPr>
          <w:rFonts w:cs="Arial"/>
        </w:rPr>
        <w:t>O</w:t>
      </w:r>
      <w:r w:rsidR="000377C7" w:rsidRPr="004A0678">
        <w:rPr>
          <w:rFonts w:cs="Arial"/>
        </w:rPr>
        <w:t xml:space="preserve">utcome </w:t>
      </w:r>
      <w:r w:rsidRPr="00E03BE4">
        <w:rPr>
          <w:rFonts w:cs="Arial"/>
        </w:rPr>
        <w:t>3 [K3.19] [S3.29] [S3.33] [S3.38]</w:t>
      </w:r>
    </w:p>
    <w:p w14:paraId="7992708C" w14:textId="77777777" w:rsidR="00A105AD" w:rsidRDefault="00A105AD" w:rsidP="008477B3">
      <w:pPr>
        <w:pStyle w:val="Heading2"/>
        <w:rPr>
          <w:rFonts w:eastAsiaTheme="minorHAnsi" w:cs="Arial"/>
          <w:b w:val="0"/>
          <w:i w:val="0"/>
          <w:szCs w:val="22"/>
        </w:rPr>
      </w:pPr>
    </w:p>
    <w:p w14:paraId="76DEF621" w14:textId="5C2D5068" w:rsidR="00C84EAA" w:rsidRDefault="00DD17F7" w:rsidP="008477B3">
      <w:pPr>
        <w:pStyle w:val="Heading2"/>
        <w:rPr>
          <w:rFonts w:eastAsiaTheme="minorHAnsi" w:cs="Arial"/>
          <w:b w:val="0"/>
          <w:i w:val="0"/>
          <w:szCs w:val="22"/>
        </w:rPr>
      </w:pPr>
      <w:r w:rsidRPr="00DD17F7">
        <w:rPr>
          <w:rFonts w:eastAsiaTheme="minorHAnsi" w:cs="Arial"/>
          <w:b w:val="0"/>
          <w:i w:val="0"/>
          <w:szCs w:val="22"/>
        </w:rPr>
        <w:t xml:space="preserve">The </w:t>
      </w:r>
      <w:r>
        <w:rPr>
          <w:rFonts w:eastAsiaTheme="minorHAnsi" w:cs="Arial"/>
          <w:b w:val="0"/>
          <w:i w:val="0"/>
          <w:szCs w:val="22"/>
        </w:rPr>
        <w:t xml:space="preserve">learning materials </w:t>
      </w:r>
      <w:r w:rsidR="00574CE1">
        <w:rPr>
          <w:rFonts w:eastAsiaTheme="minorHAnsi" w:cs="Arial"/>
          <w:b w:val="0"/>
          <w:i w:val="0"/>
          <w:szCs w:val="22"/>
        </w:rPr>
        <w:t>to support each lesson includes</w:t>
      </w:r>
      <w:r w:rsidR="00F66042">
        <w:rPr>
          <w:rFonts w:eastAsiaTheme="minorHAnsi" w:cs="Arial"/>
          <w:b w:val="0"/>
          <w:i w:val="0"/>
          <w:szCs w:val="22"/>
        </w:rPr>
        <w:t xml:space="preserve"> </w:t>
      </w:r>
      <w:r w:rsidR="008508F6">
        <w:rPr>
          <w:rFonts w:eastAsiaTheme="minorHAnsi" w:cs="Arial"/>
          <w:b w:val="0"/>
          <w:i w:val="0"/>
          <w:szCs w:val="22"/>
        </w:rPr>
        <w:t>activities</w:t>
      </w:r>
      <w:r w:rsidR="00CC0D34">
        <w:rPr>
          <w:rFonts w:eastAsiaTheme="minorHAnsi" w:cs="Arial"/>
          <w:b w:val="0"/>
          <w:i w:val="0"/>
          <w:szCs w:val="22"/>
        </w:rPr>
        <w:t xml:space="preserve">, case </w:t>
      </w:r>
      <w:r w:rsidR="00FC769E">
        <w:rPr>
          <w:rFonts w:eastAsiaTheme="minorHAnsi" w:cs="Arial"/>
          <w:b w:val="0"/>
          <w:i w:val="0"/>
          <w:szCs w:val="22"/>
        </w:rPr>
        <w:t>studies, research</w:t>
      </w:r>
      <w:r w:rsidR="00E46584">
        <w:rPr>
          <w:rFonts w:eastAsiaTheme="minorHAnsi" w:cs="Arial"/>
          <w:b w:val="0"/>
          <w:i w:val="0"/>
          <w:szCs w:val="22"/>
        </w:rPr>
        <w:t xml:space="preserve"> tasks</w:t>
      </w:r>
      <w:r w:rsidR="00FC769E">
        <w:rPr>
          <w:rFonts w:eastAsiaTheme="minorHAnsi" w:cs="Arial"/>
          <w:b w:val="0"/>
          <w:i w:val="0"/>
          <w:szCs w:val="22"/>
        </w:rPr>
        <w:t xml:space="preserve">, handouts and </w:t>
      </w:r>
      <w:proofErr w:type="gramStart"/>
      <w:r w:rsidR="00FC769E">
        <w:rPr>
          <w:rFonts w:eastAsiaTheme="minorHAnsi" w:cs="Arial"/>
          <w:b w:val="0"/>
          <w:i w:val="0"/>
          <w:szCs w:val="22"/>
        </w:rPr>
        <w:t>templates</w:t>
      </w:r>
      <w:proofErr w:type="gramEnd"/>
    </w:p>
    <w:p w14:paraId="5845CAC6" w14:textId="77777777" w:rsidR="00483C23" w:rsidRDefault="00483C23" w:rsidP="00483C23"/>
    <w:p w14:paraId="5730C0BE" w14:textId="5B7AB7BD" w:rsidR="00483C23" w:rsidRPr="00483C23" w:rsidRDefault="00483C23" w:rsidP="00483C23">
      <w:r>
        <w:t xml:space="preserve">The separate </w:t>
      </w:r>
      <w:r w:rsidR="00852651">
        <w:t xml:space="preserve">PowerPoint slides support the ten lessons and include embedded videos to use within the </w:t>
      </w:r>
      <w:r w:rsidR="00B65DB7">
        <w:t>lessons.</w:t>
      </w:r>
    </w:p>
    <w:p w14:paraId="484D8B85" w14:textId="77777777" w:rsidR="004D51E0" w:rsidRDefault="004D51E0" w:rsidP="004D51E0"/>
    <w:p w14:paraId="3D2BB2C7" w14:textId="64D505E9" w:rsidR="00483C23" w:rsidRPr="00483C23" w:rsidRDefault="004E6C2D" w:rsidP="00483C23">
      <w:pPr>
        <w:tabs>
          <w:tab w:val="left" w:pos="9645"/>
        </w:tabs>
        <w:contextualSpacing/>
        <w:rPr>
          <w:rFonts w:cs="Arial"/>
        </w:rPr>
      </w:pPr>
      <w:r w:rsidRPr="00483C23">
        <w:rPr>
          <w:rFonts w:cs="Arial"/>
        </w:rPr>
        <w:t xml:space="preserve">The framework for learning and </w:t>
      </w:r>
      <w:r w:rsidR="005458AF" w:rsidRPr="00483C23">
        <w:rPr>
          <w:rFonts w:cs="Arial"/>
        </w:rPr>
        <w:t>lesson</w:t>
      </w:r>
      <w:r w:rsidRPr="00483C23">
        <w:rPr>
          <w:rFonts w:cs="Arial"/>
        </w:rPr>
        <w:t xml:space="preserve"> plans </w:t>
      </w:r>
      <w:r w:rsidR="005458AF" w:rsidRPr="00483C23">
        <w:rPr>
          <w:rFonts w:cs="Arial"/>
        </w:rPr>
        <w:t xml:space="preserve">also </w:t>
      </w:r>
      <w:r w:rsidR="005F46B7" w:rsidRPr="00483C23">
        <w:rPr>
          <w:rFonts w:cs="Arial"/>
        </w:rPr>
        <w:t>covers</w:t>
      </w:r>
      <w:r w:rsidR="005458AF" w:rsidRPr="00483C23">
        <w:rPr>
          <w:rFonts w:cs="Arial"/>
        </w:rPr>
        <w:t xml:space="preserve"> the following</w:t>
      </w:r>
      <w:r w:rsidR="00483C23" w:rsidRPr="00483C23">
        <w:rPr>
          <w:rFonts w:cs="Arial"/>
        </w:rPr>
        <w:t xml:space="preserve"> General English and </w:t>
      </w:r>
      <w:r w:rsidR="005F46B7">
        <w:rPr>
          <w:rFonts w:cs="Arial"/>
        </w:rPr>
        <w:t>Maths</w:t>
      </w:r>
      <w:r w:rsidR="00483C23" w:rsidRPr="00483C23">
        <w:rPr>
          <w:rFonts w:cs="Arial"/>
        </w:rPr>
        <w:t xml:space="preserve"> Competencies (GECs and G</w:t>
      </w:r>
      <w:r w:rsidR="005F46B7">
        <w:rPr>
          <w:rFonts w:cs="Arial"/>
        </w:rPr>
        <w:t>M</w:t>
      </w:r>
      <w:r w:rsidR="00483C23" w:rsidRPr="00483C23">
        <w:rPr>
          <w:rFonts w:cs="Arial"/>
        </w:rPr>
        <w:t>Cs):</w:t>
      </w:r>
    </w:p>
    <w:p w14:paraId="64A5811C" w14:textId="77777777" w:rsidR="00483C23" w:rsidRPr="00483C23" w:rsidRDefault="00483C23" w:rsidP="00483C23">
      <w:pPr>
        <w:numPr>
          <w:ilvl w:val="0"/>
          <w:numId w:val="31"/>
        </w:numPr>
        <w:tabs>
          <w:tab w:val="left" w:pos="9645"/>
        </w:tabs>
        <w:contextualSpacing/>
        <w:rPr>
          <w:rFonts w:cs="Arial"/>
        </w:rPr>
      </w:pPr>
      <w:r w:rsidRPr="00483C23">
        <w:rPr>
          <w:rFonts w:cs="Arial"/>
        </w:rPr>
        <w:t xml:space="preserve">GEC3: Creating texts for different purposes and </w:t>
      </w:r>
      <w:proofErr w:type="gramStart"/>
      <w:r w:rsidRPr="00483C23">
        <w:rPr>
          <w:rFonts w:cs="Arial"/>
        </w:rPr>
        <w:t>audiences</w:t>
      </w:r>
      <w:proofErr w:type="gramEnd"/>
    </w:p>
    <w:p w14:paraId="3C5708C8" w14:textId="048F5184" w:rsidR="00483C23" w:rsidRPr="00483C23" w:rsidRDefault="00483C23" w:rsidP="00483C23">
      <w:pPr>
        <w:numPr>
          <w:ilvl w:val="0"/>
          <w:numId w:val="31"/>
        </w:numPr>
        <w:tabs>
          <w:tab w:val="left" w:pos="9645"/>
        </w:tabs>
        <w:spacing w:before="240"/>
        <w:contextualSpacing/>
        <w:rPr>
          <w:rFonts w:cs="Arial"/>
        </w:rPr>
      </w:pPr>
      <w:r w:rsidRPr="00483C23">
        <w:rPr>
          <w:rFonts w:cs="Arial"/>
        </w:rPr>
        <w:t>G</w:t>
      </w:r>
      <w:r w:rsidR="005F46B7">
        <w:rPr>
          <w:rFonts w:cs="Arial"/>
        </w:rPr>
        <w:t>M</w:t>
      </w:r>
      <w:r w:rsidRPr="00483C23">
        <w:rPr>
          <w:rFonts w:cs="Arial"/>
        </w:rPr>
        <w:t>C1</w:t>
      </w:r>
      <w:r w:rsidR="005F46B7">
        <w:rPr>
          <w:rFonts w:cs="Arial"/>
        </w:rPr>
        <w:t>0</w:t>
      </w:r>
      <w:r w:rsidRPr="00483C23">
        <w:rPr>
          <w:rFonts w:cs="Arial"/>
        </w:rPr>
        <w:t xml:space="preserve">: </w:t>
      </w:r>
      <w:r w:rsidR="005F46B7">
        <w:rPr>
          <w:rFonts w:cs="Arial"/>
        </w:rPr>
        <w:t xml:space="preserve">Optimising work processes </w:t>
      </w:r>
    </w:p>
    <w:p w14:paraId="0B0D53A6" w14:textId="71F8B2ED" w:rsidR="004D51E0" w:rsidRPr="004D51E0" w:rsidRDefault="004D51E0" w:rsidP="004D51E0"/>
    <w:p w14:paraId="3ED77807" w14:textId="77777777" w:rsidR="0078454B" w:rsidRDefault="0078454B" w:rsidP="0078454B">
      <w:pPr>
        <w:textAlignment w:val="baseline"/>
        <w:rPr>
          <w:rFonts w:eastAsia="Times New Roman" w:cs="Arial"/>
          <w:lang w:eastAsia="en-GB"/>
        </w:rPr>
      </w:pPr>
    </w:p>
    <w:p w14:paraId="59A0237D" w14:textId="56B75680" w:rsidR="00FA5ABB" w:rsidRDefault="00FD6B40" w:rsidP="00FD175C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Downloadable resources</w:t>
      </w:r>
    </w:p>
    <w:p w14:paraId="628ADA8E" w14:textId="77777777" w:rsidR="00A17AE9" w:rsidRPr="00A17AE9" w:rsidRDefault="00A17AE9" w:rsidP="00A17AE9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14:paraId="3A01360F" w14:textId="77777777" w:rsidTr="00FD175C">
        <w:tc>
          <w:tcPr>
            <w:tcW w:w="3681" w:type="dxa"/>
          </w:tcPr>
          <w:p w14:paraId="36A073D3" w14:textId="53A277C4" w:rsidR="00FD175C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Word document including introduction, framework for learning, </w:t>
            </w:r>
            <w:r w:rsidR="00C36BE3">
              <w:rPr>
                <w:rFonts w:eastAsia="Times New Roman" w:cs="Arial"/>
                <w:lang w:eastAsia="en-GB"/>
              </w:rPr>
              <w:t xml:space="preserve">ten </w:t>
            </w:r>
            <w:r>
              <w:rPr>
                <w:rFonts w:eastAsia="Times New Roman" w:cs="Arial"/>
                <w:lang w:eastAsia="en-GB"/>
              </w:rPr>
              <w:t>lesson plans and associated supporting resources</w:t>
            </w:r>
          </w:p>
        </w:tc>
        <w:tc>
          <w:tcPr>
            <w:tcW w:w="2410" w:type="dxa"/>
          </w:tcPr>
          <w:p w14:paraId="44883FB7" w14:textId="0183BAA7" w:rsidR="00FD175C" w:rsidRDefault="009A388F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  <w:tr w:rsidR="00A17AE9" w14:paraId="3BC92170" w14:textId="77777777" w:rsidTr="00FD175C">
        <w:tc>
          <w:tcPr>
            <w:tcW w:w="3681" w:type="dxa"/>
          </w:tcPr>
          <w:p w14:paraId="02A1D3F3" w14:textId="06931FFB" w:rsidR="00A17AE9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PowerPoint </w:t>
            </w:r>
            <w:r w:rsidR="00175319">
              <w:rPr>
                <w:rFonts w:eastAsia="Times New Roman" w:cs="Arial"/>
                <w:lang w:eastAsia="en-GB"/>
              </w:rPr>
              <w:t>to support lesson plan</w:t>
            </w:r>
            <w:r w:rsidR="00D33CF3">
              <w:rPr>
                <w:rFonts w:eastAsia="Times New Roman" w:cs="Arial"/>
                <w:lang w:eastAsia="en-GB"/>
              </w:rPr>
              <w:t xml:space="preserve"> including </w:t>
            </w:r>
            <w:r w:rsidR="004A052F">
              <w:rPr>
                <w:rFonts w:eastAsia="Times New Roman" w:cs="Arial"/>
                <w:lang w:eastAsia="en-GB"/>
              </w:rPr>
              <w:t>embedded videos</w:t>
            </w:r>
          </w:p>
        </w:tc>
        <w:tc>
          <w:tcPr>
            <w:tcW w:w="2410" w:type="dxa"/>
          </w:tcPr>
          <w:p w14:paraId="154CBBB1" w14:textId="03F4E9A1" w:rsidR="00A17AE9" w:rsidRDefault="0017531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</w:tbl>
    <w:p w14:paraId="594F5B1D" w14:textId="77777777" w:rsidR="00FD175C" w:rsidRDefault="00FD175C" w:rsidP="0078454B">
      <w:pPr>
        <w:textAlignment w:val="baseline"/>
        <w:rPr>
          <w:rFonts w:eastAsia="Times New Roman" w:cs="Arial"/>
          <w:lang w:eastAsia="en-GB"/>
        </w:rPr>
      </w:pPr>
    </w:p>
    <w:p w14:paraId="51FB622A" w14:textId="77777777" w:rsidR="00FD6B40" w:rsidRDefault="00FD6B40" w:rsidP="0078454B">
      <w:pPr>
        <w:textAlignment w:val="baseline"/>
        <w:rPr>
          <w:rFonts w:eastAsia="Times New Roman" w:cs="Arial"/>
          <w:lang w:eastAsia="en-GB"/>
        </w:rPr>
      </w:pPr>
    </w:p>
    <w:p w14:paraId="6B2474DD" w14:textId="77777777" w:rsidR="0078454B" w:rsidRPr="00AB18F0" w:rsidRDefault="0078454B" w:rsidP="0078454B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52B92AA2" w14:textId="77777777" w:rsidR="00BB11F6" w:rsidRDefault="00BB11F6" w:rsidP="00BB11F6">
      <w:pPr>
        <w:pStyle w:val="Heading1"/>
      </w:pPr>
    </w:p>
    <w:sectPr w:rsidR="00BB11F6" w:rsidSect="00DD5677">
      <w:pgSz w:w="12240" w:h="15840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2E6E9" w14:textId="77777777" w:rsidR="00484798" w:rsidRDefault="00484798" w:rsidP="002B439B">
      <w:r>
        <w:separator/>
      </w:r>
    </w:p>
  </w:endnote>
  <w:endnote w:type="continuationSeparator" w:id="0">
    <w:p w14:paraId="30E2F154" w14:textId="77777777" w:rsidR="00484798" w:rsidRDefault="00484798" w:rsidP="002B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99437" w14:textId="77777777" w:rsidR="00484798" w:rsidRDefault="00484798" w:rsidP="002B439B">
      <w:r>
        <w:separator/>
      </w:r>
    </w:p>
  </w:footnote>
  <w:footnote w:type="continuationSeparator" w:id="0">
    <w:p w14:paraId="2D3BB8D5" w14:textId="77777777" w:rsidR="00484798" w:rsidRDefault="00484798" w:rsidP="002B4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CECE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57502">
    <w:abstractNumId w:val="19"/>
  </w:num>
  <w:num w:numId="2" w16cid:durableId="268702522">
    <w:abstractNumId w:val="10"/>
  </w:num>
  <w:num w:numId="3" w16cid:durableId="1258833042">
    <w:abstractNumId w:val="23"/>
  </w:num>
  <w:num w:numId="4" w16cid:durableId="571239899">
    <w:abstractNumId w:val="17"/>
  </w:num>
  <w:num w:numId="5" w16cid:durableId="360982869">
    <w:abstractNumId w:val="16"/>
  </w:num>
  <w:num w:numId="6" w16cid:durableId="2046715611">
    <w:abstractNumId w:val="6"/>
  </w:num>
  <w:num w:numId="7" w16cid:durableId="1307511340">
    <w:abstractNumId w:val="11"/>
  </w:num>
  <w:num w:numId="8" w16cid:durableId="2046830829">
    <w:abstractNumId w:val="21"/>
  </w:num>
  <w:num w:numId="9" w16cid:durableId="842665330">
    <w:abstractNumId w:val="30"/>
  </w:num>
  <w:num w:numId="10" w16cid:durableId="96676490">
    <w:abstractNumId w:val="3"/>
  </w:num>
  <w:num w:numId="11" w16cid:durableId="1915428124">
    <w:abstractNumId w:val="0"/>
  </w:num>
  <w:num w:numId="12" w16cid:durableId="2003509527">
    <w:abstractNumId w:val="29"/>
  </w:num>
  <w:num w:numId="13" w16cid:durableId="2035036047">
    <w:abstractNumId w:val="12"/>
  </w:num>
  <w:num w:numId="14" w16cid:durableId="1432627918">
    <w:abstractNumId w:val="18"/>
  </w:num>
  <w:num w:numId="15" w16cid:durableId="607198898">
    <w:abstractNumId w:val="9"/>
  </w:num>
  <w:num w:numId="16" w16cid:durableId="841091994">
    <w:abstractNumId w:val="2"/>
  </w:num>
  <w:num w:numId="17" w16cid:durableId="923759010">
    <w:abstractNumId w:val="1"/>
  </w:num>
  <w:num w:numId="18" w16cid:durableId="381101390">
    <w:abstractNumId w:val="28"/>
  </w:num>
  <w:num w:numId="19" w16cid:durableId="1392315478">
    <w:abstractNumId w:val="25"/>
  </w:num>
  <w:num w:numId="20" w16cid:durableId="1590506958">
    <w:abstractNumId w:val="8"/>
  </w:num>
  <w:num w:numId="21" w16cid:durableId="1708141270">
    <w:abstractNumId w:val="5"/>
  </w:num>
  <w:num w:numId="22" w16cid:durableId="73626742">
    <w:abstractNumId w:val="4"/>
  </w:num>
  <w:num w:numId="23" w16cid:durableId="959453851">
    <w:abstractNumId w:val="27"/>
  </w:num>
  <w:num w:numId="24" w16cid:durableId="269970014">
    <w:abstractNumId w:val="22"/>
  </w:num>
  <w:num w:numId="25" w16cid:durableId="1490753154">
    <w:abstractNumId w:val="14"/>
  </w:num>
  <w:num w:numId="26" w16cid:durableId="501941176">
    <w:abstractNumId w:val="26"/>
  </w:num>
  <w:num w:numId="27" w16cid:durableId="926302150">
    <w:abstractNumId w:val="13"/>
  </w:num>
  <w:num w:numId="28" w16cid:durableId="1783915824">
    <w:abstractNumId w:val="7"/>
  </w:num>
  <w:num w:numId="29" w16cid:durableId="1476606943">
    <w:abstractNumId w:val="20"/>
  </w:num>
  <w:num w:numId="30" w16cid:durableId="1996957236">
    <w:abstractNumId w:val="15"/>
  </w:num>
  <w:num w:numId="31" w16cid:durableId="19441921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24E7A"/>
    <w:rsid w:val="0003293F"/>
    <w:rsid w:val="000377C7"/>
    <w:rsid w:val="00037C74"/>
    <w:rsid w:val="0005625B"/>
    <w:rsid w:val="00062CEB"/>
    <w:rsid w:val="00063A09"/>
    <w:rsid w:val="00063FE5"/>
    <w:rsid w:val="0006798F"/>
    <w:rsid w:val="00070B6E"/>
    <w:rsid w:val="000719DC"/>
    <w:rsid w:val="00084282"/>
    <w:rsid w:val="00086C73"/>
    <w:rsid w:val="000D4387"/>
    <w:rsid w:val="000D4897"/>
    <w:rsid w:val="000E0EEE"/>
    <w:rsid w:val="000F3FD9"/>
    <w:rsid w:val="000F53C4"/>
    <w:rsid w:val="000F69C1"/>
    <w:rsid w:val="00105018"/>
    <w:rsid w:val="001213E8"/>
    <w:rsid w:val="001224CC"/>
    <w:rsid w:val="00132721"/>
    <w:rsid w:val="001352A1"/>
    <w:rsid w:val="00144FBC"/>
    <w:rsid w:val="00151D50"/>
    <w:rsid w:val="001527F3"/>
    <w:rsid w:val="00154BCF"/>
    <w:rsid w:val="00167E9E"/>
    <w:rsid w:val="0017225E"/>
    <w:rsid w:val="00175319"/>
    <w:rsid w:val="001A0652"/>
    <w:rsid w:val="001A539D"/>
    <w:rsid w:val="001A5ADD"/>
    <w:rsid w:val="001B0E67"/>
    <w:rsid w:val="001B0F8A"/>
    <w:rsid w:val="001B714B"/>
    <w:rsid w:val="001C02D0"/>
    <w:rsid w:val="001C33E3"/>
    <w:rsid w:val="001C76F0"/>
    <w:rsid w:val="001D1515"/>
    <w:rsid w:val="001E535C"/>
    <w:rsid w:val="001F4CED"/>
    <w:rsid w:val="001F6E75"/>
    <w:rsid w:val="00202C83"/>
    <w:rsid w:val="00210CCE"/>
    <w:rsid w:val="002168E3"/>
    <w:rsid w:val="00230A76"/>
    <w:rsid w:val="00230BAF"/>
    <w:rsid w:val="002403D7"/>
    <w:rsid w:val="00252D6A"/>
    <w:rsid w:val="00256AFD"/>
    <w:rsid w:val="002649CD"/>
    <w:rsid w:val="00280B3F"/>
    <w:rsid w:val="00282B1A"/>
    <w:rsid w:val="002864C1"/>
    <w:rsid w:val="002A0982"/>
    <w:rsid w:val="002B267F"/>
    <w:rsid w:val="002B439B"/>
    <w:rsid w:val="002C4E3E"/>
    <w:rsid w:val="002D331D"/>
    <w:rsid w:val="002E1490"/>
    <w:rsid w:val="002E241B"/>
    <w:rsid w:val="002E64AE"/>
    <w:rsid w:val="003149C5"/>
    <w:rsid w:val="00316334"/>
    <w:rsid w:val="00317329"/>
    <w:rsid w:val="00317434"/>
    <w:rsid w:val="00325F63"/>
    <w:rsid w:val="00332B65"/>
    <w:rsid w:val="0034085E"/>
    <w:rsid w:val="00345AB1"/>
    <w:rsid w:val="00347985"/>
    <w:rsid w:val="00355EA8"/>
    <w:rsid w:val="0035779F"/>
    <w:rsid w:val="00362D34"/>
    <w:rsid w:val="00375DFE"/>
    <w:rsid w:val="00387B02"/>
    <w:rsid w:val="003A2562"/>
    <w:rsid w:val="003C46C8"/>
    <w:rsid w:val="003C4C84"/>
    <w:rsid w:val="003C4D65"/>
    <w:rsid w:val="003E1658"/>
    <w:rsid w:val="003E3EED"/>
    <w:rsid w:val="003E6B10"/>
    <w:rsid w:val="00402651"/>
    <w:rsid w:val="0040273B"/>
    <w:rsid w:val="00413F3A"/>
    <w:rsid w:val="00417129"/>
    <w:rsid w:val="00421A77"/>
    <w:rsid w:val="00427953"/>
    <w:rsid w:val="00435249"/>
    <w:rsid w:val="0043530B"/>
    <w:rsid w:val="00441B5B"/>
    <w:rsid w:val="00442C82"/>
    <w:rsid w:val="00443184"/>
    <w:rsid w:val="00446B72"/>
    <w:rsid w:val="00462AAF"/>
    <w:rsid w:val="00463CBA"/>
    <w:rsid w:val="004644F3"/>
    <w:rsid w:val="0046498E"/>
    <w:rsid w:val="00483C23"/>
    <w:rsid w:val="00484798"/>
    <w:rsid w:val="00484C5C"/>
    <w:rsid w:val="00486C3B"/>
    <w:rsid w:val="00495889"/>
    <w:rsid w:val="00497E59"/>
    <w:rsid w:val="004A052F"/>
    <w:rsid w:val="004A0678"/>
    <w:rsid w:val="004A62A3"/>
    <w:rsid w:val="004C1CBF"/>
    <w:rsid w:val="004C5B87"/>
    <w:rsid w:val="004D055D"/>
    <w:rsid w:val="004D51E0"/>
    <w:rsid w:val="004D58A1"/>
    <w:rsid w:val="004E6C2D"/>
    <w:rsid w:val="004F5E81"/>
    <w:rsid w:val="00500AD3"/>
    <w:rsid w:val="005243AA"/>
    <w:rsid w:val="005259C7"/>
    <w:rsid w:val="005337A7"/>
    <w:rsid w:val="005458AF"/>
    <w:rsid w:val="005706B0"/>
    <w:rsid w:val="00574CE1"/>
    <w:rsid w:val="005822BA"/>
    <w:rsid w:val="005836CE"/>
    <w:rsid w:val="00593EE7"/>
    <w:rsid w:val="005968D0"/>
    <w:rsid w:val="00597E44"/>
    <w:rsid w:val="005A7BB3"/>
    <w:rsid w:val="005C468A"/>
    <w:rsid w:val="005D3834"/>
    <w:rsid w:val="005E035B"/>
    <w:rsid w:val="005E19E2"/>
    <w:rsid w:val="005F46B7"/>
    <w:rsid w:val="0060302C"/>
    <w:rsid w:val="00605EE0"/>
    <w:rsid w:val="0060717E"/>
    <w:rsid w:val="00613045"/>
    <w:rsid w:val="00622D5D"/>
    <w:rsid w:val="00633BB0"/>
    <w:rsid w:val="0065466B"/>
    <w:rsid w:val="00670789"/>
    <w:rsid w:val="0067341F"/>
    <w:rsid w:val="00674340"/>
    <w:rsid w:val="00681D6E"/>
    <w:rsid w:val="006853F2"/>
    <w:rsid w:val="006926E1"/>
    <w:rsid w:val="006A3F5B"/>
    <w:rsid w:val="006B28BE"/>
    <w:rsid w:val="006D2578"/>
    <w:rsid w:val="006D27C0"/>
    <w:rsid w:val="006E2B11"/>
    <w:rsid w:val="006F2D00"/>
    <w:rsid w:val="0070753E"/>
    <w:rsid w:val="0072155F"/>
    <w:rsid w:val="00726B1A"/>
    <w:rsid w:val="007311E7"/>
    <w:rsid w:val="0073583D"/>
    <w:rsid w:val="00741472"/>
    <w:rsid w:val="00747EB7"/>
    <w:rsid w:val="00765C52"/>
    <w:rsid w:val="007710D0"/>
    <w:rsid w:val="00775E6E"/>
    <w:rsid w:val="007762B1"/>
    <w:rsid w:val="0078454B"/>
    <w:rsid w:val="0079187B"/>
    <w:rsid w:val="00791F40"/>
    <w:rsid w:val="00792EE7"/>
    <w:rsid w:val="0079747B"/>
    <w:rsid w:val="007C469C"/>
    <w:rsid w:val="007C4F87"/>
    <w:rsid w:val="007E4675"/>
    <w:rsid w:val="007F048F"/>
    <w:rsid w:val="007F4B50"/>
    <w:rsid w:val="00804736"/>
    <w:rsid w:val="00806281"/>
    <w:rsid w:val="00807DE9"/>
    <w:rsid w:val="0081207B"/>
    <w:rsid w:val="008349FC"/>
    <w:rsid w:val="008477B3"/>
    <w:rsid w:val="008508F6"/>
    <w:rsid w:val="00852651"/>
    <w:rsid w:val="00861426"/>
    <w:rsid w:val="00862D4B"/>
    <w:rsid w:val="00864F57"/>
    <w:rsid w:val="00867D01"/>
    <w:rsid w:val="008934F6"/>
    <w:rsid w:val="008A1FA2"/>
    <w:rsid w:val="008B71CC"/>
    <w:rsid w:val="008F439C"/>
    <w:rsid w:val="00910A2E"/>
    <w:rsid w:val="00914A53"/>
    <w:rsid w:val="0094092B"/>
    <w:rsid w:val="009509C7"/>
    <w:rsid w:val="009628B8"/>
    <w:rsid w:val="00966F33"/>
    <w:rsid w:val="00967C75"/>
    <w:rsid w:val="00991972"/>
    <w:rsid w:val="009936AD"/>
    <w:rsid w:val="00994E1A"/>
    <w:rsid w:val="009A388F"/>
    <w:rsid w:val="009A7181"/>
    <w:rsid w:val="009C1253"/>
    <w:rsid w:val="009C4038"/>
    <w:rsid w:val="009C72FC"/>
    <w:rsid w:val="009D6A0F"/>
    <w:rsid w:val="009E3470"/>
    <w:rsid w:val="009E70B0"/>
    <w:rsid w:val="009F066C"/>
    <w:rsid w:val="00A005F0"/>
    <w:rsid w:val="00A0183D"/>
    <w:rsid w:val="00A02682"/>
    <w:rsid w:val="00A049C6"/>
    <w:rsid w:val="00A105AD"/>
    <w:rsid w:val="00A17AE9"/>
    <w:rsid w:val="00A275FA"/>
    <w:rsid w:val="00A345E9"/>
    <w:rsid w:val="00A56B41"/>
    <w:rsid w:val="00A5732A"/>
    <w:rsid w:val="00A613D0"/>
    <w:rsid w:val="00A70411"/>
    <w:rsid w:val="00A72784"/>
    <w:rsid w:val="00A761C5"/>
    <w:rsid w:val="00A86C52"/>
    <w:rsid w:val="00A94205"/>
    <w:rsid w:val="00A9572C"/>
    <w:rsid w:val="00AB48F8"/>
    <w:rsid w:val="00AD3CE0"/>
    <w:rsid w:val="00AE5230"/>
    <w:rsid w:val="00AE5CE8"/>
    <w:rsid w:val="00AF0EA9"/>
    <w:rsid w:val="00AF3364"/>
    <w:rsid w:val="00AF538E"/>
    <w:rsid w:val="00AF7C13"/>
    <w:rsid w:val="00B20C05"/>
    <w:rsid w:val="00B231BF"/>
    <w:rsid w:val="00B353F1"/>
    <w:rsid w:val="00B4732A"/>
    <w:rsid w:val="00B47A57"/>
    <w:rsid w:val="00B633F8"/>
    <w:rsid w:val="00B65DB7"/>
    <w:rsid w:val="00B72AD5"/>
    <w:rsid w:val="00B8101B"/>
    <w:rsid w:val="00B84519"/>
    <w:rsid w:val="00B87B93"/>
    <w:rsid w:val="00BA19AD"/>
    <w:rsid w:val="00BB11F6"/>
    <w:rsid w:val="00BC54A3"/>
    <w:rsid w:val="00BC79B5"/>
    <w:rsid w:val="00BF351A"/>
    <w:rsid w:val="00BF78CD"/>
    <w:rsid w:val="00C011E5"/>
    <w:rsid w:val="00C141D8"/>
    <w:rsid w:val="00C17A1B"/>
    <w:rsid w:val="00C25418"/>
    <w:rsid w:val="00C32E80"/>
    <w:rsid w:val="00C36BE3"/>
    <w:rsid w:val="00C46294"/>
    <w:rsid w:val="00C47CD7"/>
    <w:rsid w:val="00C57110"/>
    <w:rsid w:val="00C66CD0"/>
    <w:rsid w:val="00C671B5"/>
    <w:rsid w:val="00C72AFE"/>
    <w:rsid w:val="00C73769"/>
    <w:rsid w:val="00C77857"/>
    <w:rsid w:val="00C81F19"/>
    <w:rsid w:val="00C84EAA"/>
    <w:rsid w:val="00CA7865"/>
    <w:rsid w:val="00CB43C4"/>
    <w:rsid w:val="00CB5FF9"/>
    <w:rsid w:val="00CC07E3"/>
    <w:rsid w:val="00CC0D34"/>
    <w:rsid w:val="00CC492B"/>
    <w:rsid w:val="00D0133B"/>
    <w:rsid w:val="00D01B5D"/>
    <w:rsid w:val="00D225BB"/>
    <w:rsid w:val="00D22A28"/>
    <w:rsid w:val="00D33CF3"/>
    <w:rsid w:val="00D53DFA"/>
    <w:rsid w:val="00D5434A"/>
    <w:rsid w:val="00D723D3"/>
    <w:rsid w:val="00D76565"/>
    <w:rsid w:val="00D85015"/>
    <w:rsid w:val="00DA1A9A"/>
    <w:rsid w:val="00DA77DD"/>
    <w:rsid w:val="00DB3E4C"/>
    <w:rsid w:val="00DB6F10"/>
    <w:rsid w:val="00DB756D"/>
    <w:rsid w:val="00DC78BD"/>
    <w:rsid w:val="00DD17F7"/>
    <w:rsid w:val="00DD5410"/>
    <w:rsid w:val="00DD541B"/>
    <w:rsid w:val="00DD5677"/>
    <w:rsid w:val="00DE5478"/>
    <w:rsid w:val="00DF18E6"/>
    <w:rsid w:val="00DF5BA8"/>
    <w:rsid w:val="00E029DE"/>
    <w:rsid w:val="00E03BE4"/>
    <w:rsid w:val="00E048D0"/>
    <w:rsid w:val="00E16520"/>
    <w:rsid w:val="00E168FA"/>
    <w:rsid w:val="00E24E7D"/>
    <w:rsid w:val="00E40C55"/>
    <w:rsid w:val="00E46584"/>
    <w:rsid w:val="00E522A6"/>
    <w:rsid w:val="00E533FA"/>
    <w:rsid w:val="00E6310F"/>
    <w:rsid w:val="00E73F35"/>
    <w:rsid w:val="00E773AF"/>
    <w:rsid w:val="00E854AC"/>
    <w:rsid w:val="00EA05C1"/>
    <w:rsid w:val="00EA5426"/>
    <w:rsid w:val="00EC74D0"/>
    <w:rsid w:val="00EE3C87"/>
    <w:rsid w:val="00EE405B"/>
    <w:rsid w:val="00F05E25"/>
    <w:rsid w:val="00F150B2"/>
    <w:rsid w:val="00F2786B"/>
    <w:rsid w:val="00F331D0"/>
    <w:rsid w:val="00F370C5"/>
    <w:rsid w:val="00F635D0"/>
    <w:rsid w:val="00F66042"/>
    <w:rsid w:val="00F72FEF"/>
    <w:rsid w:val="00F81CC2"/>
    <w:rsid w:val="00F84A8F"/>
    <w:rsid w:val="00F85F41"/>
    <w:rsid w:val="00F93948"/>
    <w:rsid w:val="00F971BF"/>
    <w:rsid w:val="00FA0B6C"/>
    <w:rsid w:val="00FA3AD8"/>
    <w:rsid w:val="00FA5ABB"/>
    <w:rsid w:val="00FA6B1E"/>
    <w:rsid w:val="00FB3D5B"/>
    <w:rsid w:val="00FB735B"/>
    <w:rsid w:val="00FC71F8"/>
    <w:rsid w:val="00FC769E"/>
    <w:rsid w:val="00FD175C"/>
    <w:rsid w:val="00FD6B40"/>
    <w:rsid w:val="00FD6EDE"/>
    <w:rsid w:val="00FE10CA"/>
    <w:rsid w:val="00FE1E54"/>
    <w:rsid w:val="00FF081B"/>
    <w:rsid w:val="022E0DF7"/>
    <w:rsid w:val="02E4388B"/>
    <w:rsid w:val="0CA78843"/>
    <w:rsid w:val="0E13989B"/>
    <w:rsid w:val="0F1B7E68"/>
    <w:rsid w:val="116CD4F3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7" ma:contentTypeDescription="Create a new document." ma:contentTypeScope="" ma:versionID="b65acc67901e0485b8aac86fe72ed177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dedb8be4e17833ccb9caf5b6a1865ed7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0142D5-9FBA-481A-9B11-AD7B2097A6D2}">
  <ds:schemaRefs>
    <ds:schemaRef ds:uri="http://schemas.openxmlformats.org/package/2006/metadata/core-properties"/>
    <ds:schemaRef ds:uri="http://schemas.microsoft.com/office/2006/metadata/properties"/>
    <ds:schemaRef ds:uri="414d2ded-29cc-4abd-a1df-c646721ce55b"/>
    <ds:schemaRef ds:uri="http://purl.org/dc/terms/"/>
    <ds:schemaRef ds:uri="2847a094-2edf-4950-a853-13ec668231ed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8FD574-DBEA-44B7-91D1-2BF37D5D7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d2ded-29cc-4abd-a1df-c646721ce55b"/>
    <ds:schemaRef ds:uri="2847a094-2edf-4950-a853-13ec66823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Sadé Williams</cp:lastModifiedBy>
  <cp:revision>43</cp:revision>
  <dcterms:created xsi:type="dcterms:W3CDTF">2024-06-11T09:02:00Z</dcterms:created>
  <dcterms:modified xsi:type="dcterms:W3CDTF">2024-07-23T15:30:00Z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